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92AC" w14:textId="77777777" w:rsidR="00D1335F" w:rsidRDefault="006E6D12">
      <w:r>
        <w:rPr>
          <w:noProof/>
          <w:lang w:eastAsia="en-AU"/>
        </w:rPr>
        <w:drawing>
          <wp:inline distT="0" distB="0" distL="0" distR="0" wp14:anchorId="16F89E14" wp14:editId="5AD51D03">
            <wp:extent cx="2085206" cy="5143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iana\AppData\Local\Microsoft\Windows\Temporary Internet Files\Content.Outlook\00LQI8J5\New Corporate 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31859" cy="525858"/>
                    </a:xfrm>
                    <a:prstGeom prst="rect">
                      <a:avLst/>
                    </a:prstGeom>
                    <a:noFill/>
                    <a:ln>
                      <a:noFill/>
                    </a:ln>
                  </pic:spPr>
                </pic:pic>
              </a:graphicData>
            </a:graphic>
          </wp:inline>
        </w:drawing>
      </w:r>
      <w:r w:rsidR="00B2447D">
        <w:t xml:space="preserve"> </w:t>
      </w:r>
    </w:p>
    <w:p w14:paraId="42459113" w14:textId="77777777" w:rsidR="00B2447D" w:rsidRDefault="00B2447D" w:rsidP="007F030F">
      <w:pPr>
        <w:pStyle w:val="Title"/>
        <w:spacing w:before="480"/>
      </w:pPr>
      <w:r>
        <w:t>POSITION DESCRIPTION</w:t>
      </w:r>
    </w:p>
    <w:p w14:paraId="01DB6668" w14:textId="77777777" w:rsidR="00B2447D" w:rsidRDefault="00B2447D" w:rsidP="00B2447D"/>
    <w:p w14:paraId="58F4462C" w14:textId="16A32C6A" w:rsidR="00B2447D" w:rsidRPr="00B624E0" w:rsidRDefault="00262641" w:rsidP="00B2447D">
      <w:pPr>
        <w:pStyle w:val="Heading1"/>
        <w:pBdr>
          <w:bottom w:val="single" w:sz="8" w:space="1" w:color="auto"/>
        </w:pBdr>
        <w:rPr>
          <w:b/>
          <w:color w:val="auto"/>
          <w:sz w:val="48"/>
          <w:szCs w:val="48"/>
        </w:rPr>
      </w:pPr>
      <w:r w:rsidRPr="00B624E0">
        <w:rPr>
          <w:b/>
          <w:color w:val="auto"/>
          <w:sz w:val="48"/>
          <w:szCs w:val="48"/>
        </w:rPr>
        <w:t>Job Ready Program Assessor</w:t>
      </w:r>
    </w:p>
    <w:p w14:paraId="2E34EE23" w14:textId="77777777" w:rsidR="00B2447D" w:rsidRPr="00B2447D" w:rsidRDefault="00B2447D" w:rsidP="00B2447D"/>
    <w:tbl>
      <w:tblPr>
        <w:tblStyle w:val="TableGrid"/>
        <w:tblW w:w="1343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3481"/>
        <w:gridCol w:w="274"/>
        <w:gridCol w:w="1558"/>
        <w:gridCol w:w="6476"/>
      </w:tblGrid>
      <w:tr w:rsidR="00CA1B48" w:rsidRPr="00B2447D" w14:paraId="3894EDA1" w14:textId="77777777" w:rsidTr="00262641">
        <w:tc>
          <w:tcPr>
            <w:tcW w:w="1645" w:type="dxa"/>
          </w:tcPr>
          <w:p w14:paraId="3FA091A0" w14:textId="03B6971D" w:rsidR="00CA1B48" w:rsidRPr="00B2447D" w:rsidRDefault="00CA1B48" w:rsidP="0065397E">
            <w:pPr>
              <w:pStyle w:val="Heading2"/>
              <w:outlineLvl w:val="1"/>
            </w:pPr>
            <w:r w:rsidRPr="00B2447D">
              <w:t>Reports to:</w:t>
            </w:r>
            <w:r>
              <w:t xml:space="preserve"> </w:t>
            </w:r>
          </w:p>
        </w:tc>
        <w:tc>
          <w:tcPr>
            <w:tcW w:w="3663" w:type="dxa"/>
          </w:tcPr>
          <w:p w14:paraId="0DFF89F5" w14:textId="00AA85B1" w:rsidR="00CA1B48" w:rsidRPr="007E1EE2" w:rsidRDefault="00262641" w:rsidP="00B727F9">
            <w:pPr>
              <w:pStyle w:val="Heading2"/>
              <w:outlineLvl w:val="1"/>
              <w:rPr>
                <w:sz w:val="22"/>
                <w:szCs w:val="22"/>
              </w:rPr>
            </w:pPr>
            <w:r>
              <w:rPr>
                <w:sz w:val="22"/>
                <w:szCs w:val="22"/>
              </w:rPr>
              <w:t>Senior Manager Community &amp; Industry Engagement</w:t>
            </w:r>
          </w:p>
        </w:tc>
        <w:tc>
          <w:tcPr>
            <w:tcW w:w="278" w:type="dxa"/>
          </w:tcPr>
          <w:p w14:paraId="1F5C45E3" w14:textId="77777777" w:rsidR="00CA1B48" w:rsidRPr="007E1EE2" w:rsidRDefault="00CA1B48" w:rsidP="00B727F9">
            <w:pPr>
              <w:pStyle w:val="Heading2"/>
              <w:outlineLvl w:val="1"/>
              <w:rPr>
                <w:sz w:val="22"/>
                <w:szCs w:val="22"/>
              </w:rPr>
            </w:pPr>
          </w:p>
        </w:tc>
        <w:tc>
          <w:tcPr>
            <w:tcW w:w="935" w:type="dxa"/>
          </w:tcPr>
          <w:p w14:paraId="31F1CCB0" w14:textId="31BA36E1" w:rsidR="00CA1B48" w:rsidRDefault="00CA1B48" w:rsidP="0065397E">
            <w:pPr>
              <w:pStyle w:val="Heading2"/>
              <w:outlineLvl w:val="1"/>
            </w:pPr>
            <w:r>
              <w:t xml:space="preserve">Department: </w:t>
            </w:r>
          </w:p>
        </w:tc>
        <w:tc>
          <w:tcPr>
            <w:tcW w:w="6912" w:type="dxa"/>
          </w:tcPr>
          <w:p w14:paraId="244650C2" w14:textId="14EDC60D" w:rsidR="00CA1B48" w:rsidRPr="007E1EE2" w:rsidRDefault="00262641" w:rsidP="00B727F9">
            <w:pPr>
              <w:pStyle w:val="Heading2"/>
              <w:outlineLvl w:val="1"/>
              <w:rPr>
                <w:sz w:val="22"/>
                <w:szCs w:val="22"/>
              </w:rPr>
            </w:pPr>
            <w:r>
              <w:rPr>
                <w:sz w:val="22"/>
                <w:szCs w:val="22"/>
              </w:rPr>
              <w:t>Community &amp; Industry Engagement</w:t>
            </w:r>
          </w:p>
        </w:tc>
      </w:tr>
      <w:tr w:rsidR="00CA1B48" w:rsidRPr="00B2447D" w14:paraId="25935E09" w14:textId="77777777" w:rsidTr="00262641">
        <w:tc>
          <w:tcPr>
            <w:tcW w:w="1645" w:type="dxa"/>
          </w:tcPr>
          <w:p w14:paraId="446D1A72" w14:textId="74B6D44A" w:rsidR="00CA1B48" w:rsidRPr="00B2447D" w:rsidRDefault="00CA1B48" w:rsidP="00B727F9">
            <w:pPr>
              <w:pStyle w:val="Heading2"/>
              <w:outlineLvl w:val="1"/>
            </w:pPr>
            <w:r>
              <w:t>Classification:</w:t>
            </w:r>
            <w:r w:rsidR="0065397E">
              <w:t xml:space="preserve"> </w:t>
            </w:r>
          </w:p>
        </w:tc>
        <w:tc>
          <w:tcPr>
            <w:tcW w:w="3663" w:type="dxa"/>
          </w:tcPr>
          <w:p w14:paraId="289C62E7" w14:textId="08B3FE5D" w:rsidR="00CA1B48" w:rsidRPr="007E1EE2" w:rsidRDefault="00262641" w:rsidP="00B727F9">
            <w:pPr>
              <w:pStyle w:val="Heading2"/>
              <w:outlineLvl w:val="1"/>
              <w:rPr>
                <w:sz w:val="22"/>
                <w:szCs w:val="22"/>
              </w:rPr>
            </w:pPr>
            <w:r>
              <w:rPr>
                <w:sz w:val="22"/>
                <w:szCs w:val="22"/>
              </w:rPr>
              <w:t>PACCT 5</w:t>
            </w:r>
          </w:p>
        </w:tc>
        <w:tc>
          <w:tcPr>
            <w:tcW w:w="278" w:type="dxa"/>
          </w:tcPr>
          <w:p w14:paraId="128B0971" w14:textId="77777777" w:rsidR="00CA1B48" w:rsidRPr="007E1EE2" w:rsidRDefault="00CA1B48" w:rsidP="00B727F9">
            <w:pPr>
              <w:pStyle w:val="Heading2"/>
              <w:outlineLvl w:val="1"/>
              <w:rPr>
                <w:sz w:val="22"/>
                <w:szCs w:val="22"/>
              </w:rPr>
            </w:pPr>
          </w:p>
        </w:tc>
        <w:tc>
          <w:tcPr>
            <w:tcW w:w="935" w:type="dxa"/>
          </w:tcPr>
          <w:p w14:paraId="7AF5FF80" w14:textId="51BEEEBD" w:rsidR="00CA1B48" w:rsidRDefault="00CA1B48" w:rsidP="0065397E">
            <w:pPr>
              <w:pStyle w:val="Heading2"/>
              <w:outlineLvl w:val="1"/>
            </w:pPr>
            <w:r>
              <w:t xml:space="preserve">Location: </w:t>
            </w:r>
          </w:p>
        </w:tc>
        <w:tc>
          <w:tcPr>
            <w:tcW w:w="6912" w:type="dxa"/>
          </w:tcPr>
          <w:p w14:paraId="4A57CE55" w14:textId="45FEA3F7" w:rsidR="00CA1B48" w:rsidRPr="007E1EE2" w:rsidRDefault="00CF7740" w:rsidP="00B727F9">
            <w:pPr>
              <w:pStyle w:val="Heading2"/>
              <w:outlineLvl w:val="1"/>
              <w:rPr>
                <w:sz w:val="22"/>
                <w:szCs w:val="22"/>
              </w:rPr>
            </w:pPr>
            <w:r>
              <w:rPr>
                <w:sz w:val="22"/>
                <w:szCs w:val="22"/>
              </w:rPr>
              <w:t>Remote</w:t>
            </w:r>
            <w:r w:rsidR="008204EC">
              <w:rPr>
                <w:sz w:val="22"/>
                <w:szCs w:val="22"/>
              </w:rPr>
              <w:t xml:space="preserve"> </w:t>
            </w:r>
          </w:p>
        </w:tc>
      </w:tr>
    </w:tbl>
    <w:p w14:paraId="37DAE576" w14:textId="6032CBDF" w:rsidR="00B2447D" w:rsidRDefault="00B2447D" w:rsidP="00B2447D">
      <w:pPr>
        <w:pStyle w:val="Heading2"/>
      </w:pPr>
      <w:r>
        <w:t xml:space="preserve"> </w:t>
      </w:r>
    </w:p>
    <w:p w14:paraId="57168562" w14:textId="5E21A232" w:rsidR="00D27C99" w:rsidRDefault="00D27C99" w:rsidP="00D27C99">
      <w:pPr>
        <w:pStyle w:val="Heading1"/>
        <w:shd w:val="clear" w:color="auto" w:fill="F2F2F2" w:themeFill="background1" w:themeFillShade="F2"/>
      </w:pPr>
      <w:r>
        <w:t xml:space="preserve">About </w:t>
      </w:r>
      <w:proofErr w:type="spellStart"/>
      <w:r>
        <w:t>SuniTAFE</w:t>
      </w:r>
      <w:proofErr w:type="spellEnd"/>
    </w:p>
    <w:p w14:paraId="1607D8CC" w14:textId="77777777" w:rsidR="00D27C99" w:rsidRDefault="00D27C99" w:rsidP="00D27C99"/>
    <w:p w14:paraId="4614B591" w14:textId="77777777" w:rsidR="00D27C99" w:rsidRPr="00F92C8F" w:rsidRDefault="00D27C99" w:rsidP="00D27C99">
      <w:pPr>
        <w:rPr>
          <w:rFonts w:ascii="Calibri Light" w:hAnsi="Calibri Light" w:cs="Calibri Light"/>
        </w:rPr>
      </w:pPr>
      <w:proofErr w:type="spellStart"/>
      <w:r w:rsidRPr="00F92C8F">
        <w:rPr>
          <w:rFonts w:ascii="Calibri Light" w:hAnsi="Calibri Light" w:cs="Calibri Light"/>
        </w:rPr>
        <w:t>SuniTAFE</w:t>
      </w:r>
      <w:proofErr w:type="spellEnd"/>
      <w:r w:rsidRPr="00F92C8F">
        <w:rPr>
          <w:rFonts w:ascii="Calibri Light" w:hAnsi="Calibri Light" w:cs="Calibri Light"/>
        </w:rPr>
        <w:t xml:space="preserve"> is an award winning large provider of vocational education and training in north-west Victoria.</w:t>
      </w:r>
    </w:p>
    <w:p w14:paraId="17C40C3F" w14:textId="023CEE00" w:rsidR="00D27C99" w:rsidRPr="008204EC" w:rsidRDefault="00D27C99" w:rsidP="00D27C99">
      <w:pPr>
        <w:rPr>
          <w:rFonts w:ascii="Calibri Light" w:hAnsi="Calibri Light" w:cs="Calibri Light"/>
        </w:rPr>
      </w:pPr>
      <w:r w:rsidRPr="00F92C8F">
        <w:rPr>
          <w:rFonts w:ascii="Calibri Light" w:hAnsi="Calibri Light" w:cs="Calibri Light"/>
        </w:rPr>
        <w:t>We are well positioned, with our campuses located in Mildura and Swan Hill, to orchestrate the continued delivery of excellent education and training in this region. We have experienced trainers, teachers and community providers offering qualification across a range of courses and customised skill set training covering multiple sectors relevant to the community and stakeholders.</w:t>
      </w:r>
    </w:p>
    <w:p w14:paraId="4D9379A8" w14:textId="3ED081B5" w:rsidR="00D27C99" w:rsidRDefault="00D27C99" w:rsidP="00D27C99">
      <w:pPr>
        <w:pStyle w:val="Heading1"/>
        <w:shd w:val="clear" w:color="auto" w:fill="F2F2F2" w:themeFill="background1" w:themeFillShade="F2"/>
      </w:pPr>
      <w:r>
        <w:t>Our Values</w:t>
      </w:r>
    </w:p>
    <w:p w14:paraId="32902901" w14:textId="77777777" w:rsidR="00F92C8F" w:rsidRDefault="00F92C8F" w:rsidP="00F92C8F">
      <w:pPr>
        <w:shd w:val="clear" w:color="auto" w:fill="FFFFFF"/>
        <w:spacing w:after="120"/>
        <w:rPr>
          <w:rFonts w:asciiTheme="majorHAnsi" w:eastAsia="Times New Roman" w:hAnsiTheme="majorHAnsi" w:cstheme="majorHAnsi"/>
          <w:color w:val="242424"/>
          <w:lang w:eastAsia="en-AU"/>
        </w:rPr>
      </w:pPr>
    </w:p>
    <w:p w14:paraId="1B6820FB" w14:textId="1BD76D7E" w:rsidR="00F92C8F" w:rsidRDefault="00F92C8F" w:rsidP="00F92C8F">
      <w:pPr>
        <w:shd w:val="clear" w:color="auto" w:fill="FFFFFF"/>
        <w:spacing w:after="120"/>
        <w:rPr>
          <w:rFonts w:asciiTheme="majorHAnsi" w:eastAsia="Times New Roman" w:hAnsiTheme="majorHAnsi" w:cstheme="majorHAnsi"/>
          <w:color w:val="242424"/>
          <w:lang w:eastAsia="en-AU"/>
        </w:rPr>
      </w:pPr>
      <w:proofErr w:type="spellStart"/>
      <w:r w:rsidRPr="00F92C8F">
        <w:rPr>
          <w:rFonts w:asciiTheme="majorHAnsi" w:eastAsia="Times New Roman" w:hAnsiTheme="majorHAnsi" w:cstheme="majorHAnsi"/>
          <w:color w:val="242424"/>
          <w:lang w:eastAsia="en-AU"/>
        </w:rPr>
        <w:t>SuniTAFE's</w:t>
      </w:r>
      <w:proofErr w:type="spellEnd"/>
      <w:r w:rsidRPr="00F92C8F">
        <w:rPr>
          <w:rFonts w:asciiTheme="majorHAnsi" w:eastAsia="Times New Roman" w:hAnsiTheme="majorHAnsi" w:cstheme="majorHAnsi"/>
          <w:color w:val="242424"/>
          <w:lang w:eastAsia="en-AU"/>
        </w:rPr>
        <w:t xml:space="preserve"> values and behaviours ensure quality education outcomes by setting out the kind of organisation we are, what is important to us collectively, and how we work to achieve success.</w:t>
      </w:r>
    </w:p>
    <w:p w14:paraId="71BAEBFD" w14:textId="77777777" w:rsidR="00F92C8F" w:rsidRPr="00F92C8F" w:rsidRDefault="00F92C8F" w:rsidP="00F92C8F">
      <w:pPr>
        <w:shd w:val="clear" w:color="auto" w:fill="FFFFFF"/>
        <w:spacing w:after="120"/>
        <w:rPr>
          <w:rFonts w:asciiTheme="majorHAnsi" w:eastAsia="Times New Roman" w:hAnsiTheme="majorHAnsi" w:cstheme="majorHAnsi"/>
          <w:color w:val="242424"/>
          <w:lang w:eastAsia="en-AU"/>
        </w:rPr>
      </w:pPr>
    </w:p>
    <w:p w14:paraId="77E2A9A8" w14:textId="15AD28C8" w:rsidR="00D27C99" w:rsidRPr="00D27C99" w:rsidRDefault="00F92C8F" w:rsidP="00F92C8F">
      <w:pPr>
        <w:jc w:val="center"/>
      </w:pPr>
      <w:r>
        <w:rPr>
          <w:noProof/>
        </w:rPr>
        <w:drawing>
          <wp:inline distT="0" distB="0" distL="0" distR="0" wp14:anchorId="2F0234A8" wp14:editId="39D162A7">
            <wp:extent cx="2876550" cy="767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8298" cy="767567"/>
                    </a:xfrm>
                    <a:prstGeom prst="rect">
                      <a:avLst/>
                    </a:prstGeom>
                  </pic:spPr>
                </pic:pic>
              </a:graphicData>
            </a:graphic>
          </wp:inline>
        </w:drawing>
      </w:r>
    </w:p>
    <w:p w14:paraId="63A1C40B" w14:textId="76831864" w:rsidR="00B2447D" w:rsidRDefault="00B2447D" w:rsidP="00B2447D">
      <w:pPr>
        <w:pStyle w:val="Heading1"/>
        <w:shd w:val="clear" w:color="auto" w:fill="F2F2F2" w:themeFill="background1" w:themeFillShade="F2"/>
      </w:pPr>
      <w:r>
        <w:t>Primary objectives</w:t>
      </w:r>
    </w:p>
    <w:p w14:paraId="1E4B9C7C" w14:textId="77777777" w:rsidR="008204EC" w:rsidRPr="008204EC" w:rsidRDefault="008204EC" w:rsidP="008204EC"/>
    <w:p w14:paraId="44E6E049" w14:textId="1491B722" w:rsidR="00917FA3" w:rsidRPr="008204EC" w:rsidRDefault="00262641" w:rsidP="00425783">
      <w:pPr>
        <w:rPr>
          <w:rFonts w:ascii="Calibri Light" w:hAnsi="Calibri Light"/>
        </w:rPr>
      </w:pPr>
      <w:r w:rsidRPr="00E11E6E">
        <w:rPr>
          <w:rFonts w:cstheme="minorHAnsi"/>
          <w:bCs/>
          <w:spacing w:val="-3"/>
        </w:rPr>
        <w:t>Under the</w:t>
      </w:r>
      <w:r w:rsidRPr="00E11E6E">
        <w:rPr>
          <w:rFonts w:cstheme="minorHAnsi"/>
        </w:rPr>
        <w:t xml:space="preserve"> direction of the </w:t>
      </w:r>
      <w:r>
        <w:rPr>
          <w:rFonts w:cstheme="minorHAnsi"/>
        </w:rPr>
        <w:t>Senior Manager Community &amp; Industry Engagement, the</w:t>
      </w:r>
      <w:r w:rsidRPr="00E11E6E">
        <w:rPr>
          <w:rFonts w:cstheme="minorHAnsi"/>
        </w:rPr>
        <w:t xml:space="preserve"> incumbent will</w:t>
      </w:r>
      <w:r>
        <w:rPr>
          <w:rFonts w:cstheme="minorHAnsi"/>
        </w:rPr>
        <w:t xml:space="preserve"> carry out skills assessments in the areas in which they have formal qualifications and industry currency for Job Ready Program referred candidates at the candidate’s work site. These assessments</w:t>
      </w:r>
      <w:r w:rsidR="008204EC">
        <w:rPr>
          <w:rFonts w:cstheme="minorHAnsi"/>
        </w:rPr>
        <w:t xml:space="preserve"> </w:t>
      </w:r>
      <w:r>
        <w:rPr>
          <w:rFonts w:cstheme="minorHAnsi"/>
        </w:rPr>
        <w:lastRenderedPageBreak/>
        <w:t>will be recorded via</w:t>
      </w:r>
      <w:r w:rsidRPr="00EF2DCD">
        <w:rPr>
          <w:rFonts w:cstheme="minorHAnsi"/>
        </w:rPr>
        <w:t xml:space="preserve"> appropriate records and evidence to demonstrate compliance with the </w:t>
      </w:r>
      <w:r>
        <w:rPr>
          <w:rFonts w:cstheme="minorHAnsi"/>
        </w:rPr>
        <w:t>Trades Recognition Australia contract.</w:t>
      </w:r>
    </w:p>
    <w:p w14:paraId="3A4983E4" w14:textId="55BEF7AB" w:rsidR="00B2447D" w:rsidRDefault="00B2447D" w:rsidP="00B2447D">
      <w:pPr>
        <w:pStyle w:val="Heading1"/>
        <w:shd w:val="clear" w:color="auto" w:fill="F2F2F2" w:themeFill="background1" w:themeFillShade="F2"/>
      </w:pPr>
      <w:r>
        <w:t>Position summary</w:t>
      </w:r>
    </w:p>
    <w:p w14:paraId="1A3044EC" w14:textId="77777777" w:rsidR="008204EC" w:rsidRPr="008204EC" w:rsidRDefault="008204EC" w:rsidP="008204EC"/>
    <w:p w14:paraId="7F2D5554" w14:textId="77777777" w:rsidR="00262641" w:rsidRDefault="00262641" w:rsidP="00262641">
      <w:pPr>
        <w:pStyle w:val="BodyText"/>
        <w:rPr>
          <w:rFonts w:cs="Arial"/>
          <w:bCs/>
        </w:rPr>
      </w:pPr>
      <w:r>
        <w:rPr>
          <w:rFonts w:cs="Arial"/>
          <w:bCs/>
        </w:rPr>
        <w:t>The Job Ready Program (JRP) is a skills assessment program for international student graduates who hold an Australian qualification issued by a CRICOS RTO based on studies in Australia. The Program provides candidates with the opportunity to demonstrate that their skills and job readiness are relevant to their nominated occupation in an Australian workplace prior to applying to immigrate to Australia.</w:t>
      </w:r>
    </w:p>
    <w:p w14:paraId="092F85CF" w14:textId="77777777" w:rsidR="00262641" w:rsidRPr="006936B9" w:rsidRDefault="00262641" w:rsidP="00262641">
      <w:pPr>
        <w:pStyle w:val="BodyText"/>
        <w:rPr>
          <w:rFonts w:cs="Arial"/>
          <w:bCs/>
        </w:rPr>
      </w:pPr>
      <w:r>
        <w:rPr>
          <w:rFonts w:cs="Arial"/>
          <w:bCs/>
        </w:rPr>
        <w:t xml:space="preserve">This position will work under the direction of the Senior Manager Community &amp; Industry Engagement and will form part of the </w:t>
      </w:r>
      <w:proofErr w:type="spellStart"/>
      <w:r>
        <w:rPr>
          <w:rFonts w:cs="Arial"/>
          <w:bCs/>
        </w:rPr>
        <w:t>SuniTAFE</w:t>
      </w:r>
      <w:proofErr w:type="spellEnd"/>
      <w:r>
        <w:rPr>
          <w:rFonts w:cs="Arial"/>
          <w:bCs/>
        </w:rPr>
        <w:t xml:space="preserve"> Skills and Jobs division.  The role will be responsible for conducting assessments as directed by the Manager of Industry and Engagement and be part of the </w:t>
      </w:r>
      <w:proofErr w:type="spellStart"/>
      <w:r>
        <w:rPr>
          <w:rFonts w:cs="Arial"/>
          <w:bCs/>
        </w:rPr>
        <w:t>SuniTAFE</w:t>
      </w:r>
      <w:proofErr w:type="spellEnd"/>
      <w:r>
        <w:rPr>
          <w:rFonts w:cs="Arial"/>
          <w:bCs/>
        </w:rPr>
        <w:t xml:space="preserve"> Skills and Jobs division. This position requires the ability to operate with a high level of autonomy and demonstrate excellent organisational abilities and understanding of their industry.  The incumbent will have a proven track record in meeting deadlines, working in a high paced environment and must demonstrate their ability to maintain high quality work and strict confidentiality.   </w:t>
      </w:r>
    </w:p>
    <w:p w14:paraId="1D50DB73" w14:textId="48D0D77E" w:rsidR="00DB79C9" w:rsidRDefault="00DB79C9" w:rsidP="00DB79C9">
      <w:pPr>
        <w:pStyle w:val="Heading1"/>
        <w:shd w:val="clear" w:color="auto" w:fill="F2F2F2" w:themeFill="background1" w:themeFillShade="F2"/>
      </w:pPr>
      <w:r>
        <w:t>Key responsibilities</w:t>
      </w:r>
    </w:p>
    <w:p w14:paraId="0EE7DABD" w14:textId="77777777" w:rsidR="008204EC" w:rsidRPr="008204EC" w:rsidRDefault="008204EC" w:rsidP="008204EC"/>
    <w:p w14:paraId="4E8B4061" w14:textId="77777777" w:rsidR="00262641" w:rsidRPr="00EF2DCD" w:rsidRDefault="00262641" w:rsidP="00262641">
      <w:pPr>
        <w:spacing w:after="0" w:line="240" w:lineRule="auto"/>
        <w:jc w:val="both"/>
        <w:rPr>
          <w:rFonts w:cstheme="minorHAnsi"/>
          <w:b/>
        </w:rPr>
      </w:pPr>
      <w:r w:rsidRPr="00EF2DCD">
        <w:rPr>
          <w:rFonts w:cstheme="minorHAnsi"/>
          <w:b/>
        </w:rPr>
        <w:t>Assessment</w:t>
      </w:r>
    </w:p>
    <w:p w14:paraId="4F3197B0" w14:textId="77777777" w:rsidR="00262641" w:rsidRPr="00BC3E9E" w:rsidRDefault="00262641" w:rsidP="00262641">
      <w:pPr>
        <w:numPr>
          <w:ilvl w:val="0"/>
          <w:numId w:val="34"/>
        </w:numPr>
        <w:spacing w:after="0" w:line="276" w:lineRule="auto"/>
        <w:jc w:val="both"/>
        <w:rPr>
          <w:rFonts w:cstheme="minorHAnsi"/>
          <w:b/>
        </w:rPr>
      </w:pPr>
      <w:r>
        <w:rPr>
          <w:rFonts w:cstheme="minorHAnsi"/>
        </w:rPr>
        <w:t xml:space="preserve">Conduct assessments and complete the required reporting documentation as directed within the specified timeframes. </w:t>
      </w:r>
    </w:p>
    <w:p w14:paraId="3C951B98" w14:textId="77777777" w:rsidR="00262641" w:rsidRPr="00DA5E20" w:rsidRDefault="00262641" w:rsidP="00262641">
      <w:pPr>
        <w:numPr>
          <w:ilvl w:val="0"/>
          <w:numId w:val="34"/>
        </w:numPr>
        <w:spacing w:after="0" w:line="276" w:lineRule="auto"/>
        <w:jc w:val="both"/>
        <w:rPr>
          <w:rFonts w:cstheme="minorHAnsi"/>
          <w:b/>
        </w:rPr>
      </w:pPr>
      <w:r>
        <w:rPr>
          <w:rFonts w:cstheme="minorHAnsi"/>
        </w:rPr>
        <w:t xml:space="preserve">Liaise with referred clients to establish assessment time and dates that are within the broader contractual timeframes. </w:t>
      </w:r>
    </w:p>
    <w:p w14:paraId="3F507C32" w14:textId="77777777" w:rsidR="00262641" w:rsidRPr="00BC3E9E" w:rsidRDefault="00262641" w:rsidP="00262641">
      <w:pPr>
        <w:numPr>
          <w:ilvl w:val="0"/>
          <w:numId w:val="34"/>
        </w:numPr>
        <w:spacing w:after="0" w:line="276" w:lineRule="auto"/>
        <w:jc w:val="both"/>
        <w:rPr>
          <w:rFonts w:cstheme="minorHAnsi"/>
          <w:b/>
        </w:rPr>
      </w:pPr>
      <w:r>
        <w:rPr>
          <w:rFonts w:cstheme="minorHAnsi"/>
        </w:rPr>
        <w:t>Take a holistic view of the referred clients to ensure efficiencies are gained in terms of visitation schedules.</w:t>
      </w:r>
    </w:p>
    <w:p w14:paraId="0DB96C2C" w14:textId="77777777" w:rsidR="00262641" w:rsidRPr="00DA5E20" w:rsidRDefault="00262641" w:rsidP="00262641">
      <w:pPr>
        <w:numPr>
          <w:ilvl w:val="0"/>
          <w:numId w:val="34"/>
        </w:numPr>
        <w:spacing w:after="0" w:line="276" w:lineRule="auto"/>
        <w:jc w:val="both"/>
        <w:rPr>
          <w:rFonts w:cstheme="minorHAnsi"/>
          <w:b/>
        </w:rPr>
      </w:pPr>
      <w:r>
        <w:rPr>
          <w:rFonts w:cstheme="minorHAnsi"/>
        </w:rPr>
        <w:t xml:space="preserve">Conduct Technical assessment when and as directed by Trades Recognition Australia  </w:t>
      </w:r>
    </w:p>
    <w:p w14:paraId="1D779DF1" w14:textId="77777777" w:rsidR="00262641" w:rsidRPr="00BC3E9E" w:rsidRDefault="00262641" w:rsidP="00262641">
      <w:pPr>
        <w:numPr>
          <w:ilvl w:val="0"/>
          <w:numId w:val="36"/>
        </w:numPr>
        <w:tabs>
          <w:tab w:val="clear" w:pos="360"/>
          <w:tab w:val="num" w:pos="426"/>
        </w:tabs>
        <w:spacing w:after="0" w:line="276" w:lineRule="auto"/>
        <w:ind w:left="709" w:hanging="283"/>
        <w:jc w:val="both"/>
        <w:rPr>
          <w:rFonts w:cstheme="minorHAnsi"/>
          <w:b/>
        </w:rPr>
      </w:pPr>
      <w:r w:rsidRPr="0031103F">
        <w:rPr>
          <w:rFonts w:cstheme="minorHAnsi"/>
        </w:rPr>
        <w:t xml:space="preserve">Specific performance targets will be negotiated as part of the Institute’s annual Performance Review process. </w:t>
      </w:r>
    </w:p>
    <w:p w14:paraId="10F2E4BF" w14:textId="77777777" w:rsidR="00262641" w:rsidRPr="00DA5E20" w:rsidRDefault="00262641" w:rsidP="00262641">
      <w:pPr>
        <w:spacing w:after="0"/>
        <w:ind w:left="360"/>
        <w:jc w:val="both"/>
        <w:rPr>
          <w:rFonts w:cstheme="minorHAnsi"/>
          <w:b/>
        </w:rPr>
      </w:pPr>
    </w:p>
    <w:p w14:paraId="513E1DB8" w14:textId="77777777" w:rsidR="00262641" w:rsidRPr="00EF2DCD" w:rsidRDefault="00262641" w:rsidP="00262641">
      <w:pPr>
        <w:spacing w:after="0" w:line="240" w:lineRule="auto"/>
        <w:jc w:val="both"/>
        <w:rPr>
          <w:rFonts w:cstheme="minorHAnsi"/>
          <w:b/>
        </w:rPr>
      </w:pPr>
      <w:r w:rsidRPr="00EF2DCD">
        <w:rPr>
          <w:rFonts w:cstheme="minorHAnsi"/>
          <w:b/>
        </w:rPr>
        <w:t>Meeting Standards for Registered Training Organisations (RTOs) &amp; Other Contractual Requirements</w:t>
      </w:r>
    </w:p>
    <w:p w14:paraId="57070DBC" w14:textId="77777777" w:rsidR="00262641" w:rsidRPr="00BC3E9E" w:rsidRDefault="00262641" w:rsidP="00262641">
      <w:pPr>
        <w:numPr>
          <w:ilvl w:val="0"/>
          <w:numId w:val="35"/>
        </w:numPr>
        <w:spacing w:after="0" w:line="276" w:lineRule="auto"/>
        <w:jc w:val="both"/>
        <w:rPr>
          <w:rFonts w:cstheme="minorHAnsi"/>
          <w:b/>
        </w:rPr>
      </w:pPr>
      <w:r w:rsidRPr="00EF2DCD">
        <w:rPr>
          <w:rFonts w:cstheme="minorHAnsi"/>
        </w:rPr>
        <w:t xml:space="preserve">Maintain appropriate records and evidence to demonstrate compliance with the </w:t>
      </w:r>
      <w:r>
        <w:rPr>
          <w:rFonts w:cstheme="minorHAnsi"/>
        </w:rPr>
        <w:t>Trades Recognition Australia contract</w:t>
      </w:r>
      <w:r w:rsidRPr="00EF2DCD">
        <w:rPr>
          <w:rFonts w:cstheme="minorHAnsi"/>
        </w:rPr>
        <w:t xml:space="preserve">. </w:t>
      </w:r>
    </w:p>
    <w:p w14:paraId="44A6C2BC" w14:textId="77777777" w:rsidR="00262641" w:rsidRPr="006C3029" w:rsidRDefault="00262641" w:rsidP="00262641">
      <w:pPr>
        <w:numPr>
          <w:ilvl w:val="0"/>
          <w:numId w:val="35"/>
        </w:numPr>
        <w:spacing w:after="0" w:line="276" w:lineRule="auto"/>
        <w:jc w:val="both"/>
        <w:rPr>
          <w:rFonts w:cstheme="minorHAnsi"/>
          <w:b/>
        </w:rPr>
      </w:pPr>
      <w:r>
        <w:rPr>
          <w:rFonts w:cstheme="minorHAnsi"/>
        </w:rPr>
        <w:t xml:space="preserve">Submit completed assessment reports to the appointed responsible person at </w:t>
      </w:r>
      <w:proofErr w:type="spellStart"/>
      <w:r>
        <w:rPr>
          <w:rFonts w:cstheme="minorHAnsi"/>
        </w:rPr>
        <w:t>SuniTAFE</w:t>
      </w:r>
      <w:proofErr w:type="spellEnd"/>
      <w:r>
        <w:rPr>
          <w:rFonts w:cstheme="minorHAnsi"/>
        </w:rPr>
        <w:t xml:space="preserve">. These reports will be of a high level of accuracy and meet required contractual obligations. </w:t>
      </w:r>
    </w:p>
    <w:p w14:paraId="4C896D2E" w14:textId="77777777" w:rsidR="00262641" w:rsidRPr="00EF2DCD" w:rsidRDefault="00262641" w:rsidP="00262641">
      <w:pPr>
        <w:numPr>
          <w:ilvl w:val="0"/>
          <w:numId w:val="35"/>
        </w:numPr>
        <w:spacing w:after="0" w:line="276" w:lineRule="auto"/>
        <w:jc w:val="both"/>
        <w:rPr>
          <w:rFonts w:cstheme="minorHAnsi"/>
          <w:b/>
        </w:rPr>
      </w:pPr>
      <w:r w:rsidRPr="00EF2DCD">
        <w:rPr>
          <w:rFonts w:cstheme="minorHAnsi"/>
        </w:rPr>
        <w:t>Participate in assessment validation processes.</w:t>
      </w:r>
    </w:p>
    <w:p w14:paraId="4F2E511B" w14:textId="77777777" w:rsidR="00262641" w:rsidRPr="00EF2DCD" w:rsidRDefault="00262641" w:rsidP="00262641">
      <w:pPr>
        <w:numPr>
          <w:ilvl w:val="0"/>
          <w:numId w:val="35"/>
        </w:numPr>
        <w:spacing w:after="0" w:line="276" w:lineRule="auto"/>
        <w:jc w:val="both"/>
        <w:rPr>
          <w:rFonts w:cstheme="minorHAnsi"/>
        </w:rPr>
      </w:pPr>
      <w:r>
        <w:rPr>
          <w:rFonts w:cstheme="minorHAnsi"/>
        </w:rPr>
        <w:t>Ensure assessment</w:t>
      </w:r>
      <w:r w:rsidRPr="00EF2DCD">
        <w:rPr>
          <w:rFonts w:cstheme="minorHAnsi"/>
        </w:rPr>
        <w:t xml:space="preserve"> and vocational qualifications are maintained at an appropriate level and currency to reflect requirements of the Standards for RTOs and Training Package or accredited course requirements. </w:t>
      </w:r>
    </w:p>
    <w:p w14:paraId="3EEA5904" w14:textId="77777777" w:rsidR="00262641" w:rsidRPr="006C3029" w:rsidRDefault="00262641" w:rsidP="00262641">
      <w:pPr>
        <w:numPr>
          <w:ilvl w:val="0"/>
          <w:numId w:val="35"/>
        </w:numPr>
        <w:spacing w:after="0" w:line="276" w:lineRule="auto"/>
        <w:jc w:val="both"/>
        <w:rPr>
          <w:rFonts w:cstheme="minorHAnsi"/>
        </w:rPr>
      </w:pPr>
      <w:r>
        <w:rPr>
          <w:rFonts w:cstheme="minorHAnsi"/>
        </w:rPr>
        <w:t>Understand of and willingness to comply with</w:t>
      </w:r>
      <w:r w:rsidRPr="00EF2DCD">
        <w:rPr>
          <w:rFonts w:cstheme="minorHAnsi"/>
        </w:rPr>
        <w:t xml:space="preserve"> OH&amp;</w:t>
      </w:r>
      <w:r>
        <w:rPr>
          <w:rFonts w:cstheme="minorHAnsi"/>
        </w:rPr>
        <w:t>S</w:t>
      </w:r>
      <w:r w:rsidRPr="00EF2DCD">
        <w:rPr>
          <w:rFonts w:cstheme="minorHAnsi"/>
        </w:rPr>
        <w:t>, Industrial Relations, Merit and Equity Principles, Institute Quality Assurance processes and Standards for RTOs and requirements.</w:t>
      </w:r>
    </w:p>
    <w:p w14:paraId="3F65D0FC" w14:textId="77777777" w:rsidR="00262641" w:rsidRDefault="00262641" w:rsidP="00262641">
      <w:pPr>
        <w:spacing w:after="0"/>
        <w:ind w:left="720"/>
        <w:jc w:val="both"/>
        <w:rPr>
          <w:rFonts w:cstheme="minorHAnsi"/>
        </w:rPr>
      </w:pPr>
    </w:p>
    <w:p w14:paraId="400F27EB" w14:textId="77777777" w:rsidR="00262641" w:rsidRPr="00FA0995" w:rsidRDefault="00262641" w:rsidP="00262641">
      <w:pPr>
        <w:spacing w:after="0" w:line="276" w:lineRule="auto"/>
        <w:jc w:val="both"/>
        <w:rPr>
          <w:rFonts w:cstheme="minorHAnsi"/>
          <w:b/>
        </w:rPr>
      </w:pPr>
      <w:r w:rsidRPr="00FA0995">
        <w:rPr>
          <w:rFonts w:ascii="Calibri" w:hAnsi="Calibri"/>
          <w:b/>
          <w:noProof/>
          <w:lang w:val="en-US"/>
        </w:rPr>
        <w:t>Identify commercial business opportunities for the SuniTAFE via the Job Ready Program</w:t>
      </w:r>
    </w:p>
    <w:p w14:paraId="207B2A14" w14:textId="77777777" w:rsidR="00262641" w:rsidRPr="00D17C43" w:rsidRDefault="00262641" w:rsidP="00262641">
      <w:pPr>
        <w:pStyle w:val="ListParagraph"/>
        <w:numPr>
          <w:ilvl w:val="0"/>
          <w:numId w:val="37"/>
        </w:numPr>
        <w:spacing w:after="0" w:line="276" w:lineRule="auto"/>
        <w:ind w:left="709" w:hanging="283"/>
        <w:jc w:val="both"/>
        <w:rPr>
          <w:rFonts w:cstheme="minorHAnsi"/>
          <w:b/>
        </w:rPr>
      </w:pPr>
      <w:r>
        <w:rPr>
          <w:rFonts w:cstheme="minorHAnsi"/>
        </w:rPr>
        <w:t xml:space="preserve">The incumbent will maintain and grow their professional networks to identify and capitalise upon commercial business opportunities for </w:t>
      </w:r>
      <w:proofErr w:type="spellStart"/>
      <w:r>
        <w:rPr>
          <w:rFonts w:cstheme="minorHAnsi"/>
        </w:rPr>
        <w:t>SuniTAFE</w:t>
      </w:r>
      <w:proofErr w:type="spellEnd"/>
      <w:r>
        <w:rPr>
          <w:rFonts w:cstheme="minorHAnsi"/>
        </w:rPr>
        <w:t>.</w:t>
      </w:r>
    </w:p>
    <w:p w14:paraId="6F873FC8" w14:textId="33D7C1D1" w:rsidR="00F60CCB" w:rsidRDefault="00F60CCB" w:rsidP="00C36475">
      <w:pPr>
        <w:spacing w:after="0" w:line="240" w:lineRule="auto"/>
        <w:jc w:val="both"/>
        <w:rPr>
          <w:rFonts w:ascii="Calibri" w:hAnsi="Calibri" w:cs="Arial"/>
          <w:b/>
          <w:bCs/>
          <w:spacing w:val="-3"/>
        </w:rPr>
      </w:pPr>
    </w:p>
    <w:p w14:paraId="7733314F" w14:textId="77777777" w:rsidR="00F92C8F" w:rsidRPr="00C36475" w:rsidRDefault="00F92C8F" w:rsidP="00C36475">
      <w:pPr>
        <w:spacing w:after="0" w:line="240" w:lineRule="auto"/>
        <w:jc w:val="both"/>
        <w:rPr>
          <w:rFonts w:ascii="Calibri" w:hAnsi="Calibri" w:cs="Arial"/>
          <w:b/>
          <w:bCs/>
          <w:spacing w:val="-3"/>
        </w:rPr>
      </w:pPr>
    </w:p>
    <w:p w14:paraId="32A6C455" w14:textId="12C03EC9" w:rsidR="00384FDC" w:rsidRPr="00425783" w:rsidRDefault="00384FDC" w:rsidP="00425783">
      <w:pPr>
        <w:rPr>
          <w:rFonts w:asciiTheme="majorHAnsi" w:hAnsiTheme="majorHAnsi" w:cstheme="majorHAnsi"/>
          <w:b/>
        </w:rPr>
      </w:pPr>
      <w:r w:rsidRPr="00425783">
        <w:rPr>
          <w:rFonts w:asciiTheme="majorHAnsi" w:hAnsiTheme="majorHAnsi" w:cstheme="majorHAnsi"/>
          <w:b/>
        </w:rPr>
        <w:t xml:space="preserve">Act in accordance with </w:t>
      </w:r>
      <w:proofErr w:type="spellStart"/>
      <w:r w:rsidRPr="00425783">
        <w:rPr>
          <w:rFonts w:asciiTheme="majorHAnsi" w:hAnsiTheme="majorHAnsi" w:cstheme="majorHAnsi"/>
          <w:b/>
        </w:rPr>
        <w:t>SuniTAFE</w:t>
      </w:r>
      <w:proofErr w:type="spellEnd"/>
      <w:r w:rsidRPr="00425783">
        <w:rPr>
          <w:rFonts w:asciiTheme="majorHAnsi" w:hAnsiTheme="majorHAnsi" w:cstheme="majorHAnsi"/>
          <w:b/>
        </w:rPr>
        <w:t xml:space="preserve"> values – </w:t>
      </w:r>
      <w:r w:rsidR="006B1944" w:rsidRPr="00425783">
        <w:rPr>
          <w:rFonts w:asciiTheme="majorHAnsi" w:hAnsiTheme="majorHAnsi" w:cstheme="majorHAnsi"/>
          <w:b/>
        </w:rPr>
        <w:t xml:space="preserve">Relationships, </w:t>
      </w:r>
      <w:r w:rsidR="007E0577" w:rsidRPr="00425783">
        <w:rPr>
          <w:rFonts w:asciiTheme="majorHAnsi" w:hAnsiTheme="majorHAnsi" w:cstheme="majorHAnsi"/>
          <w:b/>
        </w:rPr>
        <w:t>Integrity,</w:t>
      </w:r>
      <w:r w:rsidR="006B1944" w:rsidRPr="00425783">
        <w:rPr>
          <w:rFonts w:asciiTheme="majorHAnsi" w:hAnsiTheme="majorHAnsi" w:cstheme="majorHAnsi"/>
          <w:b/>
        </w:rPr>
        <w:t xml:space="preserve"> Accountable and</w:t>
      </w:r>
      <w:r w:rsidR="007E0577" w:rsidRPr="00425783">
        <w:rPr>
          <w:rFonts w:asciiTheme="majorHAnsi" w:hAnsiTheme="majorHAnsi" w:cstheme="majorHAnsi"/>
          <w:b/>
        </w:rPr>
        <w:t xml:space="preserve"> Improvement including:</w:t>
      </w:r>
    </w:p>
    <w:p w14:paraId="42C6C147" w14:textId="77777777" w:rsidR="00D71890" w:rsidRPr="00E12A3A" w:rsidRDefault="00D71890" w:rsidP="008204EC">
      <w:pPr>
        <w:numPr>
          <w:ilvl w:val="0"/>
          <w:numId w:val="2"/>
        </w:numPr>
        <w:spacing w:after="120" w:line="240" w:lineRule="auto"/>
        <w:ind w:left="1418" w:hanging="357"/>
        <w:jc w:val="both"/>
        <w:rPr>
          <w:rFonts w:asciiTheme="majorHAnsi" w:hAnsiTheme="majorHAnsi" w:cstheme="majorHAnsi"/>
          <w:noProof/>
          <w:lang w:val="en-US"/>
        </w:rPr>
      </w:pPr>
      <w:r w:rsidRPr="00E12A3A">
        <w:rPr>
          <w:rFonts w:asciiTheme="majorHAnsi" w:hAnsiTheme="majorHAnsi" w:cstheme="majorHAnsi"/>
          <w:noProof/>
          <w:lang w:val="en-US"/>
        </w:rPr>
        <w:t>Provides exceptional customer service to all internal and external stakeholders of the Institute and ensures a positive first impression for Institute visitors at all times.</w:t>
      </w:r>
    </w:p>
    <w:p w14:paraId="5DF196CF" w14:textId="77777777" w:rsidR="00D71890" w:rsidRPr="00E12A3A" w:rsidRDefault="00D71890" w:rsidP="008204EC">
      <w:pPr>
        <w:numPr>
          <w:ilvl w:val="0"/>
          <w:numId w:val="2"/>
        </w:numPr>
        <w:spacing w:after="120" w:line="240" w:lineRule="auto"/>
        <w:ind w:left="1418" w:hanging="357"/>
        <w:jc w:val="both"/>
        <w:rPr>
          <w:rFonts w:asciiTheme="majorHAnsi" w:hAnsiTheme="majorHAnsi" w:cstheme="majorHAnsi"/>
          <w:noProof/>
          <w:lang w:val="en-US"/>
        </w:rPr>
      </w:pPr>
      <w:r w:rsidRPr="00E12A3A">
        <w:rPr>
          <w:rFonts w:asciiTheme="majorHAnsi" w:hAnsiTheme="majorHAnsi" w:cstheme="majorHAnsi"/>
          <w:noProof/>
          <w:lang w:val="en-US"/>
        </w:rPr>
        <w:t>Actively participates in all relevant training provided to assist in the implementation of new systems or processes across the Institute.</w:t>
      </w:r>
    </w:p>
    <w:p w14:paraId="1833711F" w14:textId="77777777" w:rsidR="00D71890" w:rsidRPr="00E12A3A" w:rsidRDefault="00D71890" w:rsidP="008204EC">
      <w:pPr>
        <w:numPr>
          <w:ilvl w:val="0"/>
          <w:numId w:val="2"/>
        </w:numPr>
        <w:spacing w:after="0" w:line="276" w:lineRule="auto"/>
        <w:ind w:left="1418"/>
        <w:jc w:val="both"/>
        <w:rPr>
          <w:rFonts w:asciiTheme="majorHAnsi" w:hAnsiTheme="majorHAnsi" w:cstheme="majorHAnsi"/>
        </w:rPr>
      </w:pPr>
      <w:r w:rsidRPr="00E12A3A">
        <w:rPr>
          <w:rFonts w:asciiTheme="majorHAnsi" w:hAnsiTheme="majorHAnsi" w:cstheme="majorHAnsi"/>
        </w:rPr>
        <w:t>Actively participate in the Institute’s annual Workplan and Performance Review process.</w:t>
      </w:r>
    </w:p>
    <w:p w14:paraId="088777A6" w14:textId="77777777" w:rsidR="00D71890" w:rsidRPr="00E12A3A" w:rsidRDefault="00D71890" w:rsidP="008204EC">
      <w:pPr>
        <w:numPr>
          <w:ilvl w:val="0"/>
          <w:numId w:val="2"/>
        </w:numPr>
        <w:spacing w:after="0" w:line="276" w:lineRule="auto"/>
        <w:ind w:left="1418"/>
        <w:jc w:val="both"/>
        <w:rPr>
          <w:rFonts w:asciiTheme="majorHAnsi" w:hAnsiTheme="majorHAnsi" w:cstheme="majorHAnsi"/>
        </w:rPr>
      </w:pPr>
      <w:r w:rsidRPr="00E12A3A">
        <w:rPr>
          <w:rFonts w:asciiTheme="majorHAnsi" w:hAnsiTheme="majorHAnsi" w:cstheme="majorHAnsi"/>
        </w:rPr>
        <w:t xml:space="preserve">Participate in all team based activities and meetings within the Business Unit, and attend </w:t>
      </w:r>
      <w:r w:rsidRPr="00E12A3A">
        <w:rPr>
          <w:rFonts w:asciiTheme="majorHAnsi" w:hAnsiTheme="majorHAnsi" w:cstheme="majorHAnsi"/>
          <w:color w:val="000000"/>
        </w:rPr>
        <w:t>divisional and other meetings as required</w:t>
      </w:r>
      <w:r w:rsidRPr="00E12A3A">
        <w:rPr>
          <w:rFonts w:asciiTheme="majorHAnsi" w:hAnsiTheme="majorHAnsi" w:cstheme="majorHAnsi"/>
        </w:rPr>
        <w:t>.</w:t>
      </w:r>
    </w:p>
    <w:p w14:paraId="5005D66C" w14:textId="77777777" w:rsidR="00D71890" w:rsidRPr="00E12A3A" w:rsidRDefault="00D71890" w:rsidP="008204EC">
      <w:pPr>
        <w:numPr>
          <w:ilvl w:val="0"/>
          <w:numId w:val="2"/>
        </w:numPr>
        <w:spacing w:after="120" w:line="240" w:lineRule="auto"/>
        <w:ind w:left="1418" w:hanging="357"/>
        <w:jc w:val="both"/>
        <w:rPr>
          <w:rFonts w:asciiTheme="majorHAnsi" w:hAnsiTheme="majorHAnsi" w:cstheme="majorHAnsi"/>
          <w:noProof/>
          <w:lang w:val="en-US"/>
        </w:rPr>
      </w:pPr>
      <w:r w:rsidRPr="00E12A3A">
        <w:rPr>
          <w:rFonts w:asciiTheme="majorHAnsi" w:hAnsiTheme="majorHAnsi" w:cstheme="majorHAnsi"/>
          <w:noProof/>
          <w:lang w:val="en-US"/>
        </w:rPr>
        <w:t xml:space="preserve">Complies with OH&amp;S and EEO legislation; </w:t>
      </w:r>
    </w:p>
    <w:p w14:paraId="7B9F76C5" w14:textId="3C49571C" w:rsidR="00FA23D6" w:rsidRPr="00E12A3A" w:rsidRDefault="00FA23D6" w:rsidP="008204EC">
      <w:pPr>
        <w:numPr>
          <w:ilvl w:val="0"/>
          <w:numId w:val="2"/>
        </w:numPr>
        <w:spacing w:after="0" w:line="276" w:lineRule="auto"/>
        <w:ind w:left="1418"/>
        <w:jc w:val="both"/>
        <w:rPr>
          <w:rFonts w:asciiTheme="majorHAnsi" w:hAnsiTheme="majorHAnsi" w:cstheme="majorHAnsi"/>
          <w:b/>
        </w:rPr>
      </w:pPr>
      <w:r w:rsidRPr="00E12A3A">
        <w:rPr>
          <w:rFonts w:asciiTheme="majorHAnsi" w:hAnsiTheme="majorHAnsi" w:cstheme="majorHAnsi"/>
          <w:noProof/>
          <w:lang w:val="en-US"/>
        </w:rPr>
        <w:t>Ensure compliance with SuniTAFE’s Staff Code of Conduct, Child Safety Policy and Child Safety Procedures at all time</w:t>
      </w:r>
      <w:r w:rsidR="001B59AC" w:rsidRPr="00E12A3A">
        <w:rPr>
          <w:rFonts w:asciiTheme="majorHAnsi" w:hAnsiTheme="majorHAnsi" w:cstheme="majorHAnsi"/>
          <w:noProof/>
          <w:lang w:val="en-US"/>
        </w:rPr>
        <w:t>s</w:t>
      </w:r>
      <w:r w:rsidRPr="00E12A3A">
        <w:rPr>
          <w:rFonts w:asciiTheme="majorHAnsi" w:hAnsiTheme="majorHAnsi" w:cstheme="majorHAnsi"/>
        </w:rPr>
        <w:t>.</w:t>
      </w:r>
    </w:p>
    <w:p w14:paraId="1353C0C1" w14:textId="77777777" w:rsidR="00D71890" w:rsidRPr="00E12A3A" w:rsidRDefault="00D71890" w:rsidP="008204EC">
      <w:pPr>
        <w:numPr>
          <w:ilvl w:val="0"/>
          <w:numId w:val="2"/>
        </w:numPr>
        <w:spacing w:after="120" w:line="240" w:lineRule="auto"/>
        <w:ind w:left="1418" w:hanging="357"/>
        <w:jc w:val="both"/>
        <w:rPr>
          <w:rFonts w:asciiTheme="majorHAnsi" w:hAnsiTheme="majorHAnsi" w:cstheme="majorHAnsi"/>
        </w:rPr>
      </w:pPr>
      <w:r w:rsidRPr="00E12A3A">
        <w:rPr>
          <w:rFonts w:asciiTheme="majorHAnsi" w:hAnsiTheme="majorHAnsi" w:cstheme="majorHAnsi"/>
          <w:noProof/>
          <w:lang w:val="en-US"/>
        </w:rPr>
        <w:t>Prepared to undertake further courses of study, annual OH&amp;S, EEO, Cultural Diversity and/or identified mandatory professional development programs or training relevant to the position as necessary.</w:t>
      </w:r>
    </w:p>
    <w:p w14:paraId="0F167A31" w14:textId="77777777" w:rsidR="00D71890" w:rsidRPr="00E12A3A" w:rsidRDefault="00D71890" w:rsidP="008204EC">
      <w:pPr>
        <w:numPr>
          <w:ilvl w:val="0"/>
          <w:numId w:val="2"/>
        </w:numPr>
        <w:spacing w:after="120" w:line="240" w:lineRule="auto"/>
        <w:ind w:left="1418" w:hanging="357"/>
        <w:jc w:val="both"/>
        <w:rPr>
          <w:rFonts w:asciiTheme="majorHAnsi" w:hAnsiTheme="majorHAnsi" w:cstheme="majorHAnsi"/>
        </w:rPr>
      </w:pPr>
      <w:r w:rsidRPr="00E12A3A">
        <w:rPr>
          <w:rFonts w:asciiTheme="majorHAnsi" w:hAnsiTheme="majorHAnsi" w:cstheme="majorHAnsi"/>
          <w:noProof/>
          <w:lang w:val="en-US"/>
        </w:rPr>
        <w:t xml:space="preserve">Reports to work as scheduled with a willingness to work flexible hours according to business needs. </w:t>
      </w:r>
    </w:p>
    <w:p w14:paraId="6C5A679D" w14:textId="77777777" w:rsidR="00D71890" w:rsidRPr="00E12A3A" w:rsidRDefault="00D71890" w:rsidP="008204EC">
      <w:pPr>
        <w:numPr>
          <w:ilvl w:val="0"/>
          <w:numId w:val="2"/>
        </w:numPr>
        <w:spacing w:after="120" w:line="240" w:lineRule="auto"/>
        <w:ind w:left="1418" w:hanging="357"/>
        <w:jc w:val="both"/>
        <w:rPr>
          <w:rFonts w:asciiTheme="majorHAnsi" w:hAnsiTheme="majorHAnsi" w:cstheme="majorHAnsi"/>
          <w:noProof/>
          <w:lang w:val="en-US"/>
        </w:rPr>
      </w:pPr>
      <w:r w:rsidRPr="00E12A3A">
        <w:rPr>
          <w:rFonts w:asciiTheme="majorHAnsi" w:hAnsiTheme="majorHAnsi" w:cstheme="majorHAnsi"/>
          <w:noProof/>
          <w:lang w:val="en-US"/>
        </w:rPr>
        <w:t>Demonstrates a willingness to adopt change and new initiatives.</w:t>
      </w:r>
    </w:p>
    <w:p w14:paraId="6345EC9E" w14:textId="77777777" w:rsidR="00D71890" w:rsidRPr="00E12A3A" w:rsidRDefault="00D71890" w:rsidP="008204EC">
      <w:pPr>
        <w:numPr>
          <w:ilvl w:val="0"/>
          <w:numId w:val="2"/>
        </w:numPr>
        <w:spacing w:after="120" w:line="240" w:lineRule="auto"/>
        <w:ind w:left="1418" w:hanging="357"/>
        <w:jc w:val="both"/>
        <w:rPr>
          <w:rFonts w:asciiTheme="majorHAnsi" w:hAnsiTheme="majorHAnsi" w:cstheme="majorHAnsi"/>
          <w:noProof/>
          <w:lang w:val="en-US"/>
        </w:rPr>
      </w:pPr>
      <w:r w:rsidRPr="00E12A3A">
        <w:rPr>
          <w:rFonts w:asciiTheme="majorHAnsi" w:hAnsiTheme="majorHAnsi" w:cstheme="majorHAnsi"/>
          <w:noProof/>
          <w:lang w:val="en-US"/>
        </w:rPr>
        <w:t>Represents the Institute professionally at all times.</w:t>
      </w:r>
    </w:p>
    <w:p w14:paraId="0C934989" w14:textId="77777777" w:rsidR="00D71890" w:rsidRPr="00E12A3A" w:rsidRDefault="00D71890" w:rsidP="008204EC">
      <w:pPr>
        <w:numPr>
          <w:ilvl w:val="0"/>
          <w:numId w:val="2"/>
        </w:numPr>
        <w:spacing w:after="120" w:line="240" w:lineRule="auto"/>
        <w:ind w:left="1418" w:hanging="357"/>
        <w:jc w:val="both"/>
        <w:rPr>
          <w:rFonts w:asciiTheme="majorHAnsi" w:hAnsiTheme="majorHAnsi" w:cstheme="majorHAnsi"/>
          <w:noProof/>
          <w:lang w:val="en-US"/>
        </w:rPr>
      </w:pPr>
      <w:r w:rsidRPr="00E12A3A">
        <w:rPr>
          <w:rFonts w:asciiTheme="majorHAnsi" w:hAnsiTheme="majorHAnsi" w:cstheme="majorHAnsi"/>
        </w:rPr>
        <w:t>Actively promotes and encourages a service culture within the team.</w:t>
      </w:r>
    </w:p>
    <w:p w14:paraId="0978C1F9" w14:textId="77777777" w:rsidR="00D71890" w:rsidRPr="00E12A3A" w:rsidRDefault="00D71890" w:rsidP="008204EC">
      <w:pPr>
        <w:numPr>
          <w:ilvl w:val="0"/>
          <w:numId w:val="2"/>
        </w:numPr>
        <w:spacing w:after="120" w:line="240" w:lineRule="auto"/>
        <w:ind w:left="1418" w:hanging="357"/>
        <w:jc w:val="both"/>
        <w:rPr>
          <w:rFonts w:asciiTheme="majorHAnsi" w:hAnsiTheme="majorHAnsi" w:cstheme="majorHAnsi"/>
          <w:noProof/>
          <w:lang w:val="en-US"/>
        </w:rPr>
      </w:pPr>
      <w:r w:rsidRPr="00E12A3A">
        <w:rPr>
          <w:rFonts w:asciiTheme="majorHAnsi" w:hAnsiTheme="majorHAnsi" w:cstheme="majorHAnsi"/>
        </w:rPr>
        <w:t>Communicates any opportunities to improve service delivery and make recommendations on steps to make agreed improvements.</w:t>
      </w:r>
    </w:p>
    <w:p w14:paraId="78B61F95" w14:textId="77777777" w:rsidR="00D71890" w:rsidRPr="00E12A3A" w:rsidRDefault="00D71890" w:rsidP="008204EC">
      <w:pPr>
        <w:numPr>
          <w:ilvl w:val="0"/>
          <w:numId w:val="2"/>
        </w:numPr>
        <w:spacing w:after="120" w:line="240" w:lineRule="auto"/>
        <w:ind w:left="1418" w:hanging="357"/>
        <w:jc w:val="both"/>
        <w:rPr>
          <w:rFonts w:asciiTheme="majorHAnsi" w:hAnsiTheme="majorHAnsi" w:cstheme="majorHAnsi"/>
        </w:rPr>
      </w:pPr>
      <w:r w:rsidRPr="00E12A3A">
        <w:rPr>
          <w:rFonts w:asciiTheme="majorHAnsi" w:hAnsiTheme="majorHAnsi" w:cstheme="majorHAnsi"/>
          <w:bCs/>
        </w:rPr>
        <w:t>Actively encourages and promotes effective communication and strong working relationships within the team / Institute.</w:t>
      </w:r>
    </w:p>
    <w:p w14:paraId="7DE684D2" w14:textId="77777777" w:rsidR="00090A4E" w:rsidRPr="00E12A3A" w:rsidRDefault="00090A4E" w:rsidP="008204EC">
      <w:pPr>
        <w:numPr>
          <w:ilvl w:val="0"/>
          <w:numId w:val="2"/>
        </w:numPr>
        <w:spacing w:after="120" w:line="240" w:lineRule="auto"/>
        <w:ind w:left="1418" w:hanging="357"/>
        <w:jc w:val="both"/>
        <w:rPr>
          <w:rFonts w:asciiTheme="majorHAnsi" w:hAnsiTheme="majorHAnsi" w:cstheme="majorHAnsi"/>
        </w:rPr>
      </w:pPr>
      <w:r w:rsidRPr="00E12A3A">
        <w:rPr>
          <w:rFonts w:asciiTheme="majorHAnsi" w:hAnsiTheme="majorHAnsi" w:cstheme="majorHAnsi"/>
        </w:rPr>
        <w:t>The incumbent can expect to be allocated duties not specifically mentioned in this document but within the capacity, qualifications and experience normally expected from persons occupying positions at this classification level.</w:t>
      </w:r>
    </w:p>
    <w:p w14:paraId="0F82697F" w14:textId="77777777" w:rsidR="00D71890" w:rsidRPr="00E12A3A" w:rsidRDefault="00D71890" w:rsidP="008204EC">
      <w:pPr>
        <w:numPr>
          <w:ilvl w:val="0"/>
          <w:numId w:val="2"/>
        </w:numPr>
        <w:spacing w:after="120" w:line="240" w:lineRule="auto"/>
        <w:ind w:left="1418" w:hanging="357"/>
        <w:jc w:val="both"/>
        <w:rPr>
          <w:rFonts w:asciiTheme="majorHAnsi" w:hAnsiTheme="majorHAnsi" w:cstheme="majorHAnsi"/>
        </w:rPr>
      </w:pPr>
      <w:r w:rsidRPr="00E12A3A">
        <w:rPr>
          <w:rFonts w:asciiTheme="majorHAnsi" w:hAnsiTheme="majorHAnsi" w:cstheme="majorHAnsi"/>
          <w:bCs/>
        </w:rPr>
        <w:t>Actively prevent fraud and corruption.</w:t>
      </w:r>
    </w:p>
    <w:p w14:paraId="46AFABD7" w14:textId="77777777" w:rsidR="00B727F9" w:rsidRDefault="00B727F9" w:rsidP="00B727F9">
      <w:pPr>
        <w:pStyle w:val="Heading1"/>
        <w:shd w:val="clear" w:color="auto" w:fill="F2F2F2" w:themeFill="background1" w:themeFillShade="F2"/>
      </w:pPr>
      <w:r>
        <w:t>Knowledge, skills and abilities</w:t>
      </w:r>
    </w:p>
    <w:p w14:paraId="164E5385" w14:textId="77777777" w:rsidR="0093459B" w:rsidRDefault="0093459B" w:rsidP="0093459B">
      <w:pPr>
        <w:rPr>
          <w:b/>
          <w:bCs/>
        </w:rPr>
      </w:pPr>
    </w:p>
    <w:p w14:paraId="08E7DB52" w14:textId="5236AB16" w:rsidR="0093459B" w:rsidRDefault="0093459B" w:rsidP="0093459B">
      <w:pPr>
        <w:rPr>
          <w:b/>
          <w:bCs/>
        </w:rPr>
      </w:pPr>
      <w:r>
        <w:rPr>
          <w:b/>
          <w:bCs/>
        </w:rPr>
        <w:t>QUALIFICATIONS:</w:t>
      </w:r>
    </w:p>
    <w:p w14:paraId="41D592DC" w14:textId="77777777" w:rsidR="0093459B" w:rsidRPr="00160C5A" w:rsidRDefault="0093459B" w:rsidP="0093459B">
      <w:pPr>
        <w:pStyle w:val="ListParagraph"/>
        <w:numPr>
          <w:ilvl w:val="0"/>
          <w:numId w:val="38"/>
        </w:numPr>
        <w:rPr>
          <w:b/>
          <w:bCs/>
        </w:rPr>
      </w:pPr>
      <w:r w:rsidRPr="00160C5A">
        <w:rPr>
          <w:rFonts w:cstheme="minorHAnsi"/>
        </w:rPr>
        <w:t>Relevant qualifications in the area of assessment are considered essential to the position.</w:t>
      </w:r>
    </w:p>
    <w:p w14:paraId="396FD2FF" w14:textId="77777777" w:rsidR="0093459B" w:rsidRPr="00EF2DCD" w:rsidRDefault="0093459B" w:rsidP="0093459B">
      <w:pPr>
        <w:numPr>
          <w:ilvl w:val="0"/>
          <w:numId w:val="38"/>
        </w:numPr>
        <w:spacing w:after="0" w:line="276" w:lineRule="auto"/>
        <w:jc w:val="both"/>
        <w:rPr>
          <w:rFonts w:cstheme="minorHAnsi"/>
        </w:rPr>
      </w:pPr>
      <w:r w:rsidRPr="00EF2DCD">
        <w:rPr>
          <w:rFonts w:cstheme="minorHAnsi"/>
        </w:rPr>
        <w:lastRenderedPageBreak/>
        <w:t>Possession of the</w:t>
      </w:r>
      <w:r>
        <w:rPr>
          <w:rFonts w:cstheme="minorHAnsi"/>
        </w:rPr>
        <w:t xml:space="preserve"> 4 Assessment units from</w:t>
      </w:r>
      <w:r w:rsidRPr="00EF2DCD">
        <w:rPr>
          <w:rFonts w:cstheme="minorHAnsi"/>
        </w:rPr>
        <w:t xml:space="preserve"> Certificate IV Training and Assessment (TAE4011</w:t>
      </w:r>
      <w:r>
        <w:rPr>
          <w:rFonts w:cstheme="minorHAnsi"/>
        </w:rPr>
        <w:t>6</w:t>
      </w:r>
      <w:r w:rsidRPr="00EF2DCD">
        <w:rPr>
          <w:rFonts w:cstheme="minorHAnsi"/>
        </w:rPr>
        <w:t xml:space="preserve">) </w:t>
      </w:r>
    </w:p>
    <w:p w14:paraId="11FE48A5" w14:textId="77777777" w:rsidR="0093459B" w:rsidRPr="00160C5A" w:rsidRDefault="0093459B" w:rsidP="0093459B">
      <w:pPr>
        <w:ind w:left="360"/>
        <w:rPr>
          <w:b/>
          <w:bCs/>
        </w:rPr>
      </w:pPr>
    </w:p>
    <w:p w14:paraId="6335AAC5" w14:textId="77777777" w:rsidR="0093459B" w:rsidRDefault="0093459B" w:rsidP="0093459B">
      <w:pPr>
        <w:rPr>
          <w:b/>
          <w:bCs/>
        </w:rPr>
      </w:pPr>
      <w:r>
        <w:rPr>
          <w:b/>
          <w:bCs/>
        </w:rPr>
        <w:t>SKILLS &amp; ABILITIES</w:t>
      </w:r>
    </w:p>
    <w:p w14:paraId="1CE536B0" w14:textId="77777777" w:rsidR="0093459B" w:rsidRPr="00160C5A" w:rsidRDefault="0093459B" w:rsidP="0093459B">
      <w:pPr>
        <w:numPr>
          <w:ilvl w:val="0"/>
          <w:numId w:val="22"/>
        </w:numPr>
        <w:spacing w:after="0" w:line="276" w:lineRule="auto"/>
        <w:jc w:val="both"/>
        <w:rPr>
          <w:rFonts w:eastAsiaTheme="minorEastAsia" w:cstheme="minorHAnsi"/>
          <w:lang w:eastAsia="en-AU"/>
        </w:rPr>
      </w:pPr>
      <w:r w:rsidRPr="00160C5A">
        <w:rPr>
          <w:rFonts w:eastAsiaTheme="minorEastAsia" w:cstheme="minorHAnsi"/>
          <w:lang w:eastAsia="en-AU"/>
        </w:rPr>
        <w:t>Minimum of three years professional industry experience.</w:t>
      </w:r>
    </w:p>
    <w:p w14:paraId="206FBFBA" w14:textId="77777777" w:rsidR="0093459B" w:rsidRPr="00EF2DCD" w:rsidRDefault="0093459B" w:rsidP="0093459B">
      <w:pPr>
        <w:pStyle w:val="BodyText2"/>
        <w:numPr>
          <w:ilvl w:val="0"/>
          <w:numId w:val="22"/>
        </w:numPr>
        <w:spacing w:after="0" w:line="276" w:lineRule="auto"/>
        <w:jc w:val="both"/>
        <w:rPr>
          <w:rFonts w:cstheme="minorHAnsi"/>
        </w:rPr>
      </w:pPr>
      <w:r>
        <w:rPr>
          <w:rFonts w:cstheme="minorHAnsi"/>
        </w:rPr>
        <w:t>Demonstrated ability to work autonomously</w:t>
      </w:r>
    </w:p>
    <w:p w14:paraId="7A1B087A" w14:textId="77777777" w:rsidR="0093459B" w:rsidRPr="00EF2DCD" w:rsidRDefault="0093459B" w:rsidP="0093459B">
      <w:pPr>
        <w:pStyle w:val="BodyText2"/>
        <w:numPr>
          <w:ilvl w:val="0"/>
          <w:numId w:val="22"/>
        </w:numPr>
        <w:spacing w:after="0" w:line="276" w:lineRule="auto"/>
        <w:jc w:val="both"/>
        <w:rPr>
          <w:rFonts w:cstheme="minorHAnsi"/>
        </w:rPr>
      </w:pPr>
      <w:r>
        <w:rPr>
          <w:rFonts w:cstheme="minorHAnsi"/>
        </w:rPr>
        <w:t>Demonstrated ability to assess</w:t>
      </w:r>
      <w:r w:rsidRPr="00EF2DCD">
        <w:rPr>
          <w:rFonts w:cstheme="minorHAnsi"/>
        </w:rPr>
        <w:t xml:space="preserve"> adults</w:t>
      </w:r>
      <w:r>
        <w:rPr>
          <w:rFonts w:cstheme="minorHAnsi"/>
        </w:rPr>
        <w:t>.</w:t>
      </w:r>
    </w:p>
    <w:p w14:paraId="7A211C37" w14:textId="77777777" w:rsidR="0093459B" w:rsidRDefault="0093459B" w:rsidP="0093459B">
      <w:pPr>
        <w:pStyle w:val="BodyText2"/>
        <w:numPr>
          <w:ilvl w:val="0"/>
          <w:numId w:val="22"/>
        </w:numPr>
        <w:spacing w:after="0" w:line="276" w:lineRule="auto"/>
        <w:jc w:val="both"/>
        <w:rPr>
          <w:rFonts w:cstheme="minorHAnsi"/>
        </w:rPr>
      </w:pPr>
      <w:r w:rsidRPr="00EF2DCD">
        <w:rPr>
          <w:rFonts w:cstheme="minorHAnsi"/>
        </w:rPr>
        <w:t xml:space="preserve">Ability to work with a diverse </w:t>
      </w:r>
      <w:r>
        <w:rPr>
          <w:rFonts w:cstheme="minorHAnsi"/>
        </w:rPr>
        <w:t>client base</w:t>
      </w:r>
      <w:r w:rsidRPr="00EF2DCD">
        <w:rPr>
          <w:rFonts w:cstheme="minorHAnsi"/>
        </w:rPr>
        <w:t xml:space="preserve"> is essential.</w:t>
      </w:r>
    </w:p>
    <w:p w14:paraId="63445966" w14:textId="77777777" w:rsidR="0093459B" w:rsidRPr="00EF2DCD" w:rsidRDefault="0093459B" w:rsidP="0093459B">
      <w:pPr>
        <w:pStyle w:val="BodyText2"/>
        <w:numPr>
          <w:ilvl w:val="0"/>
          <w:numId w:val="22"/>
        </w:numPr>
        <w:spacing w:after="0" w:line="276" w:lineRule="auto"/>
        <w:jc w:val="both"/>
        <w:rPr>
          <w:rFonts w:cstheme="minorHAnsi"/>
        </w:rPr>
      </w:pPr>
      <w:r>
        <w:rPr>
          <w:rFonts w:cstheme="minorHAnsi"/>
        </w:rPr>
        <w:t>Full open drivers’ licence is essential.</w:t>
      </w:r>
    </w:p>
    <w:p w14:paraId="50267BCA" w14:textId="77777777" w:rsidR="0093459B" w:rsidRPr="00EF2DCD" w:rsidRDefault="0093459B" w:rsidP="0093459B">
      <w:pPr>
        <w:numPr>
          <w:ilvl w:val="0"/>
          <w:numId w:val="22"/>
        </w:numPr>
        <w:spacing w:after="0" w:line="276" w:lineRule="auto"/>
        <w:jc w:val="both"/>
        <w:rPr>
          <w:rFonts w:cstheme="minorHAnsi"/>
        </w:rPr>
      </w:pPr>
      <w:r w:rsidRPr="00EF2DCD">
        <w:rPr>
          <w:rFonts w:cstheme="minorHAnsi"/>
        </w:rPr>
        <w:t>Highly developed interpersonal and verbal and written communication skills.</w:t>
      </w:r>
    </w:p>
    <w:p w14:paraId="6F67D723" w14:textId="77777777" w:rsidR="0093459B" w:rsidRPr="00EF2DCD" w:rsidRDefault="0093459B" w:rsidP="0093459B">
      <w:pPr>
        <w:numPr>
          <w:ilvl w:val="0"/>
          <w:numId w:val="22"/>
        </w:numPr>
        <w:spacing w:after="0" w:line="276" w:lineRule="auto"/>
        <w:jc w:val="both"/>
        <w:rPr>
          <w:rFonts w:cstheme="minorHAnsi"/>
        </w:rPr>
      </w:pPr>
      <w:r w:rsidRPr="00EF2DCD">
        <w:rPr>
          <w:rFonts w:cstheme="minorHAnsi"/>
        </w:rPr>
        <w:t>Highly developed organisation skills which provide the ability to deal with tight timelines and conflicting demands.</w:t>
      </w:r>
    </w:p>
    <w:p w14:paraId="7DB542FC" w14:textId="77777777" w:rsidR="0093459B" w:rsidRPr="00EF2DCD" w:rsidRDefault="0093459B" w:rsidP="0093459B">
      <w:pPr>
        <w:numPr>
          <w:ilvl w:val="0"/>
          <w:numId w:val="22"/>
        </w:numPr>
        <w:spacing w:after="0" w:line="276" w:lineRule="auto"/>
        <w:jc w:val="both"/>
        <w:rPr>
          <w:rFonts w:cstheme="minorHAnsi"/>
        </w:rPr>
      </w:pPr>
      <w:r w:rsidRPr="00EF2DCD">
        <w:rPr>
          <w:rFonts w:cstheme="minorHAnsi"/>
        </w:rPr>
        <w:t>Commitment to high quality</w:t>
      </w:r>
      <w:r>
        <w:rPr>
          <w:rFonts w:cstheme="minorHAnsi"/>
        </w:rPr>
        <w:t xml:space="preserve"> assessment of</w:t>
      </w:r>
      <w:r w:rsidRPr="00EF2DCD">
        <w:rPr>
          <w:rFonts w:cstheme="minorHAnsi"/>
        </w:rPr>
        <w:t xml:space="preserve"> programs across a range of qualification levels. </w:t>
      </w:r>
    </w:p>
    <w:p w14:paraId="7BD3BDC6" w14:textId="77777777" w:rsidR="00DF2760" w:rsidRDefault="00DF2760" w:rsidP="00DF2760">
      <w:pPr>
        <w:pStyle w:val="Heading1"/>
        <w:shd w:val="clear" w:color="auto" w:fill="F2F2F2" w:themeFill="background1" w:themeFillShade="F2"/>
      </w:pPr>
      <w:r>
        <w:t>Organisational relationships</w:t>
      </w:r>
    </w:p>
    <w:p w14:paraId="0524591B" w14:textId="77777777" w:rsidR="00DF2760" w:rsidRDefault="00DF2760" w:rsidP="00DF2760">
      <w:r>
        <w:t xml:space="preserve"> </w:t>
      </w:r>
    </w:p>
    <w:tbl>
      <w:tblPr>
        <w:tblStyle w:val="GridTable6Colorful-Accent3"/>
        <w:tblW w:w="0" w:type="auto"/>
        <w:tblLook w:val="04A0" w:firstRow="1" w:lastRow="0" w:firstColumn="1" w:lastColumn="0" w:noHBand="0" w:noVBand="1"/>
      </w:tblPr>
      <w:tblGrid>
        <w:gridCol w:w="3005"/>
        <w:gridCol w:w="3005"/>
        <w:gridCol w:w="3006"/>
      </w:tblGrid>
      <w:tr w:rsidR="00DF2760" w14:paraId="44381003" w14:textId="77777777" w:rsidTr="007F0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E7B242B" w14:textId="77777777" w:rsidR="00DF2760" w:rsidRPr="002917DB" w:rsidRDefault="00DF2760" w:rsidP="00DF2760">
            <w:pPr>
              <w:rPr>
                <w:color w:val="auto"/>
              </w:rPr>
            </w:pPr>
            <w:r w:rsidRPr="002917DB">
              <w:rPr>
                <w:color w:val="auto"/>
              </w:rPr>
              <w:t>Subordinates</w:t>
            </w:r>
          </w:p>
        </w:tc>
        <w:tc>
          <w:tcPr>
            <w:tcW w:w="6011" w:type="dxa"/>
            <w:gridSpan w:val="2"/>
          </w:tcPr>
          <w:p w14:paraId="35276AC6" w14:textId="77777777" w:rsidR="00DF2760" w:rsidRPr="002917DB" w:rsidRDefault="00DF2760" w:rsidP="0090232B">
            <w:pPr>
              <w:jc w:val="center"/>
              <w:cnfStyle w:val="100000000000" w:firstRow="1" w:lastRow="0" w:firstColumn="0" w:lastColumn="0" w:oddVBand="0" w:evenVBand="0" w:oddHBand="0" w:evenHBand="0" w:firstRowFirstColumn="0" w:firstRowLastColumn="0" w:lastRowFirstColumn="0" w:lastRowLastColumn="0"/>
              <w:rPr>
                <w:color w:val="auto"/>
              </w:rPr>
            </w:pPr>
            <w:r w:rsidRPr="002917DB">
              <w:rPr>
                <w:color w:val="auto"/>
              </w:rPr>
              <w:t xml:space="preserve">Key </w:t>
            </w:r>
            <w:r w:rsidR="0090232B" w:rsidRPr="002917DB">
              <w:rPr>
                <w:color w:val="auto"/>
              </w:rPr>
              <w:t>Relationships</w:t>
            </w:r>
          </w:p>
        </w:tc>
      </w:tr>
      <w:tr w:rsidR="00DF2760" w14:paraId="096F741F" w14:textId="77777777" w:rsidTr="007F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val="restart"/>
          </w:tcPr>
          <w:p w14:paraId="35CB1403" w14:textId="6908FCC2" w:rsidR="00DF2760" w:rsidRPr="002917DB" w:rsidRDefault="0093459B" w:rsidP="00354128">
            <w:pPr>
              <w:jc w:val="center"/>
              <w:rPr>
                <w:color w:val="auto"/>
              </w:rPr>
            </w:pPr>
            <w:r>
              <w:rPr>
                <w:color w:val="auto"/>
              </w:rPr>
              <w:t>nil</w:t>
            </w:r>
          </w:p>
        </w:tc>
        <w:tc>
          <w:tcPr>
            <w:tcW w:w="3005" w:type="dxa"/>
          </w:tcPr>
          <w:p w14:paraId="4ACB9786" w14:textId="77777777" w:rsidR="00DF2760" w:rsidRPr="002917DB" w:rsidRDefault="00DF2760" w:rsidP="00DF2760">
            <w:pPr>
              <w:jc w:val="center"/>
              <w:cnfStyle w:val="000000100000" w:firstRow="0" w:lastRow="0" w:firstColumn="0" w:lastColumn="0" w:oddVBand="0" w:evenVBand="0" w:oddHBand="1" w:evenHBand="0" w:firstRowFirstColumn="0" w:firstRowLastColumn="0" w:lastRowFirstColumn="0" w:lastRowLastColumn="0"/>
              <w:rPr>
                <w:color w:val="auto"/>
              </w:rPr>
            </w:pPr>
            <w:r w:rsidRPr="002917DB">
              <w:rPr>
                <w:color w:val="auto"/>
              </w:rPr>
              <w:t>Internal</w:t>
            </w:r>
          </w:p>
        </w:tc>
        <w:tc>
          <w:tcPr>
            <w:tcW w:w="3006" w:type="dxa"/>
          </w:tcPr>
          <w:p w14:paraId="7F80C0C0" w14:textId="77777777" w:rsidR="00DF2760" w:rsidRPr="002917DB" w:rsidRDefault="00DF2760" w:rsidP="00DF2760">
            <w:pPr>
              <w:jc w:val="center"/>
              <w:cnfStyle w:val="000000100000" w:firstRow="0" w:lastRow="0" w:firstColumn="0" w:lastColumn="0" w:oddVBand="0" w:evenVBand="0" w:oddHBand="1" w:evenHBand="0" w:firstRowFirstColumn="0" w:firstRowLastColumn="0" w:lastRowFirstColumn="0" w:lastRowLastColumn="0"/>
              <w:rPr>
                <w:color w:val="auto"/>
              </w:rPr>
            </w:pPr>
            <w:r w:rsidRPr="002917DB">
              <w:rPr>
                <w:color w:val="auto"/>
              </w:rPr>
              <w:t>External</w:t>
            </w:r>
          </w:p>
        </w:tc>
      </w:tr>
      <w:tr w:rsidR="00F92C8F" w14:paraId="2589ED49" w14:textId="77777777" w:rsidTr="007F030F">
        <w:tc>
          <w:tcPr>
            <w:cnfStyle w:val="001000000000" w:firstRow="0" w:lastRow="0" w:firstColumn="1" w:lastColumn="0" w:oddVBand="0" w:evenVBand="0" w:oddHBand="0" w:evenHBand="0" w:firstRowFirstColumn="0" w:firstRowLastColumn="0" w:lastRowFirstColumn="0" w:lastRowLastColumn="0"/>
            <w:tcW w:w="3005" w:type="dxa"/>
            <w:vMerge/>
          </w:tcPr>
          <w:p w14:paraId="13C6922C" w14:textId="77777777" w:rsidR="00F92C8F" w:rsidRPr="002917DB" w:rsidRDefault="00F92C8F" w:rsidP="00F92C8F">
            <w:pPr>
              <w:rPr>
                <w:color w:val="auto"/>
              </w:rPr>
            </w:pPr>
          </w:p>
        </w:tc>
        <w:tc>
          <w:tcPr>
            <w:tcW w:w="3005" w:type="dxa"/>
          </w:tcPr>
          <w:p w14:paraId="14C814D9" w14:textId="77777777" w:rsidR="0093459B" w:rsidRPr="00DA5E20" w:rsidRDefault="0093459B" w:rsidP="0093459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Manager Industry and Engagement</w:t>
            </w:r>
          </w:p>
          <w:p w14:paraId="5AD49615" w14:textId="77777777" w:rsidR="0093459B" w:rsidRPr="00160C5A" w:rsidRDefault="0093459B" w:rsidP="0093459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Calibri" w:hAnsi="Calibri"/>
                <w:i/>
              </w:rPr>
            </w:pPr>
            <w:r>
              <w:rPr>
                <w:rFonts w:ascii="Calibri" w:hAnsi="Calibri"/>
              </w:rPr>
              <w:t>Skills and Jobs Centre staff</w:t>
            </w:r>
          </w:p>
          <w:p w14:paraId="288E87E2" w14:textId="77777777" w:rsidR="0093459B" w:rsidRPr="00BC3E9E" w:rsidRDefault="0093459B" w:rsidP="0093459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Calibri" w:hAnsi="Calibri"/>
                <w:i/>
              </w:rPr>
            </w:pPr>
            <w:r>
              <w:rPr>
                <w:rFonts w:ascii="Calibri" w:hAnsi="Calibri"/>
                <w:iCs/>
              </w:rPr>
              <w:t>Job Ready Coordinator</w:t>
            </w:r>
          </w:p>
          <w:p w14:paraId="43E24B58" w14:textId="0A37ABD7" w:rsidR="00425783" w:rsidRPr="00425783" w:rsidRDefault="00425783" w:rsidP="0093459B">
            <w:pPr>
              <w:pStyle w:val="ListParagraph"/>
              <w:cnfStyle w:val="000000000000" w:firstRow="0" w:lastRow="0" w:firstColumn="0" w:lastColumn="0" w:oddVBand="0" w:evenVBand="0" w:oddHBand="0" w:evenHBand="0" w:firstRowFirstColumn="0" w:firstRowLastColumn="0" w:lastRowFirstColumn="0" w:lastRowLastColumn="0"/>
            </w:pPr>
          </w:p>
        </w:tc>
        <w:tc>
          <w:tcPr>
            <w:tcW w:w="3006" w:type="dxa"/>
          </w:tcPr>
          <w:p w14:paraId="7EE6163D" w14:textId="77777777" w:rsidR="0093459B" w:rsidRDefault="0093459B" w:rsidP="0093459B">
            <w:pPr>
              <w:pStyle w:val="ListParagraph"/>
              <w:numPr>
                <w:ilvl w:val="0"/>
                <w:numId w:val="4"/>
              </w:numPr>
              <w:ind w:left="423"/>
              <w:cnfStyle w:val="000000000000" w:firstRow="0" w:lastRow="0" w:firstColumn="0" w:lastColumn="0" w:oddVBand="0" w:evenVBand="0" w:oddHBand="0" w:evenHBand="0" w:firstRowFirstColumn="0" w:firstRowLastColumn="0" w:lastRowFirstColumn="0" w:lastRowLastColumn="0"/>
              <w:rPr>
                <w:color w:val="auto"/>
              </w:rPr>
            </w:pPr>
            <w:r>
              <w:rPr>
                <w:color w:val="auto"/>
              </w:rPr>
              <w:t>Employers</w:t>
            </w:r>
          </w:p>
          <w:p w14:paraId="5B7152FF" w14:textId="5BF0164C" w:rsidR="00425783" w:rsidRPr="002917DB" w:rsidRDefault="0093459B" w:rsidP="0093459B">
            <w:pPr>
              <w:pStyle w:val="ListParagraph"/>
              <w:numPr>
                <w:ilvl w:val="0"/>
                <w:numId w:val="4"/>
              </w:numPr>
              <w:ind w:left="423"/>
              <w:cnfStyle w:val="000000000000" w:firstRow="0" w:lastRow="0" w:firstColumn="0" w:lastColumn="0" w:oddVBand="0" w:evenVBand="0" w:oddHBand="0" w:evenHBand="0" w:firstRowFirstColumn="0" w:firstRowLastColumn="0" w:lastRowFirstColumn="0" w:lastRowLastColumn="0"/>
              <w:rPr>
                <w:color w:val="auto"/>
              </w:rPr>
            </w:pPr>
            <w:r>
              <w:rPr>
                <w:color w:val="auto"/>
              </w:rPr>
              <w:t>Clients</w:t>
            </w:r>
          </w:p>
        </w:tc>
      </w:tr>
    </w:tbl>
    <w:p w14:paraId="3760CB88" w14:textId="77777777" w:rsidR="00DF2760" w:rsidRDefault="00DF2760" w:rsidP="00DF2760">
      <w:r>
        <w:t xml:space="preserve"> </w:t>
      </w:r>
    </w:p>
    <w:p w14:paraId="3E86E4EE" w14:textId="77777777" w:rsidR="00DF2760" w:rsidRDefault="00DF2760" w:rsidP="00DF2760">
      <w:pPr>
        <w:pStyle w:val="Heading1"/>
        <w:shd w:val="clear" w:color="auto" w:fill="F2F2F2" w:themeFill="background1" w:themeFillShade="F2"/>
      </w:pPr>
      <w:r>
        <w:t>Key selection criteria</w:t>
      </w:r>
    </w:p>
    <w:p w14:paraId="76973C7C" w14:textId="75E1C804" w:rsidR="00812BFE" w:rsidRDefault="00812BFE" w:rsidP="00812BFE">
      <w:pPr>
        <w:spacing w:after="0" w:line="240" w:lineRule="auto"/>
        <w:jc w:val="both"/>
        <w:rPr>
          <w:i/>
        </w:rPr>
      </w:pPr>
    </w:p>
    <w:p w14:paraId="66A44ADA" w14:textId="77777777" w:rsidR="0093459B" w:rsidRPr="00160C5A" w:rsidRDefault="0093459B" w:rsidP="0093459B">
      <w:pPr>
        <w:numPr>
          <w:ilvl w:val="0"/>
          <w:numId w:val="39"/>
        </w:numPr>
        <w:spacing w:after="0" w:line="276" w:lineRule="auto"/>
        <w:ind w:left="709"/>
        <w:jc w:val="both"/>
        <w:rPr>
          <w:rFonts w:eastAsiaTheme="minorEastAsia" w:cstheme="minorHAnsi"/>
          <w:lang w:eastAsia="en-AU"/>
        </w:rPr>
      </w:pPr>
      <w:r w:rsidRPr="00160C5A">
        <w:rPr>
          <w:rFonts w:eastAsiaTheme="minorEastAsia" w:cstheme="minorHAnsi"/>
          <w:lang w:eastAsia="en-AU"/>
        </w:rPr>
        <w:t>Relevant qualifications in the area of assessment are essential to the position.</w:t>
      </w:r>
    </w:p>
    <w:p w14:paraId="47D87186" w14:textId="77777777" w:rsidR="0093459B" w:rsidRPr="00160C5A" w:rsidRDefault="0093459B" w:rsidP="0093459B">
      <w:pPr>
        <w:numPr>
          <w:ilvl w:val="0"/>
          <w:numId w:val="39"/>
        </w:numPr>
        <w:spacing w:after="0" w:line="276" w:lineRule="auto"/>
        <w:ind w:left="709"/>
        <w:jc w:val="both"/>
        <w:rPr>
          <w:rFonts w:eastAsiaTheme="minorEastAsia" w:cstheme="minorHAnsi"/>
          <w:lang w:eastAsia="en-AU"/>
        </w:rPr>
      </w:pPr>
      <w:r w:rsidRPr="00160C5A">
        <w:rPr>
          <w:rFonts w:eastAsiaTheme="minorEastAsia" w:cstheme="minorHAnsi"/>
          <w:lang w:eastAsia="en-AU"/>
        </w:rPr>
        <w:t>Minimum of three years professional industry experience with the demonstrated ability to work autonomously.</w:t>
      </w:r>
    </w:p>
    <w:p w14:paraId="558803D6" w14:textId="77777777" w:rsidR="0093459B" w:rsidRPr="00160C5A" w:rsidRDefault="0093459B" w:rsidP="0093459B">
      <w:pPr>
        <w:numPr>
          <w:ilvl w:val="0"/>
          <w:numId w:val="39"/>
        </w:numPr>
        <w:spacing w:after="0" w:line="276" w:lineRule="auto"/>
        <w:ind w:left="709" w:hanging="338"/>
        <w:contextualSpacing/>
        <w:jc w:val="both"/>
        <w:rPr>
          <w:rFonts w:cstheme="minorHAnsi"/>
        </w:rPr>
      </w:pPr>
      <w:r w:rsidRPr="00160C5A">
        <w:rPr>
          <w:rFonts w:cstheme="minorHAnsi"/>
        </w:rPr>
        <w:t>Possession of the Assessment Units of Certificate IV Training and Assessment (TAE40116) , or a Diploma or higher level qualification .</w:t>
      </w:r>
    </w:p>
    <w:p w14:paraId="5E0800A2" w14:textId="77777777" w:rsidR="0093459B" w:rsidRPr="00160C5A" w:rsidRDefault="0093459B" w:rsidP="0093459B">
      <w:pPr>
        <w:numPr>
          <w:ilvl w:val="0"/>
          <w:numId w:val="39"/>
        </w:numPr>
        <w:spacing w:after="0" w:line="276" w:lineRule="auto"/>
        <w:ind w:left="709"/>
        <w:jc w:val="both"/>
        <w:rPr>
          <w:rFonts w:eastAsiaTheme="minorEastAsia" w:cstheme="minorHAnsi"/>
          <w:lang w:eastAsia="en-AU"/>
        </w:rPr>
      </w:pPr>
      <w:r w:rsidRPr="00160C5A">
        <w:rPr>
          <w:rFonts w:eastAsiaTheme="minorEastAsia" w:cstheme="minorHAnsi"/>
          <w:lang w:eastAsia="en-AU"/>
        </w:rPr>
        <w:t>Demonstrated commitment to high quality assessment of a diverse adult learner cohort.</w:t>
      </w:r>
    </w:p>
    <w:p w14:paraId="740D2329" w14:textId="77777777" w:rsidR="0093459B" w:rsidRPr="00160C5A" w:rsidRDefault="0093459B" w:rsidP="0093459B">
      <w:pPr>
        <w:numPr>
          <w:ilvl w:val="0"/>
          <w:numId w:val="39"/>
        </w:numPr>
        <w:spacing w:after="0" w:line="276" w:lineRule="auto"/>
        <w:ind w:left="709"/>
        <w:jc w:val="both"/>
        <w:rPr>
          <w:rFonts w:eastAsiaTheme="minorEastAsia" w:cstheme="minorHAnsi"/>
          <w:lang w:eastAsia="en-AU"/>
        </w:rPr>
      </w:pPr>
      <w:r w:rsidRPr="00160C5A">
        <w:rPr>
          <w:rFonts w:eastAsiaTheme="minorEastAsia" w:cstheme="minorHAnsi"/>
          <w:lang w:eastAsia="en-AU"/>
        </w:rPr>
        <w:t>Highly developed interpersonal and verbal and written communication skills.</w:t>
      </w:r>
    </w:p>
    <w:p w14:paraId="370AD3B5" w14:textId="77777777" w:rsidR="0093459B" w:rsidRPr="00160C5A" w:rsidRDefault="0093459B" w:rsidP="0093459B">
      <w:pPr>
        <w:numPr>
          <w:ilvl w:val="0"/>
          <w:numId w:val="39"/>
        </w:numPr>
        <w:spacing w:after="0" w:line="276" w:lineRule="auto"/>
        <w:ind w:left="709"/>
        <w:jc w:val="both"/>
        <w:rPr>
          <w:rFonts w:eastAsiaTheme="minorEastAsia" w:cstheme="minorHAnsi"/>
          <w:lang w:eastAsia="en-AU"/>
        </w:rPr>
      </w:pPr>
      <w:r w:rsidRPr="00160C5A">
        <w:rPr>
          <w:rFonts w:eastAsiaTheme="minorEastAsia" w:cstheme="minorHAnsi"/>
          <w:lang w:eastAsia="en-AU"/>
        </w:rPr>
        <w:t>Highly developed organisation skills which provide the ability to deal with tight timelines and conflicting demands.</w:t>
      </w:r>
    </w:p>
    <w:p w14:paraId="35688B50" w14:textId="77777777" w:rsidR="0093459B" w:rsidRPr="00160C5A" w:rsidRDefault="0093459B" w:rsidP="0093459B">
      <w:pPr>
        <w:numPr>
          <w:ilvl w:val="0"/>
          <w:numId w:val="39"/>
        </w:numPr>
        <w:spacing w:after="0" w:line="276" w:lineRule="auto"/>
        <w:ind w:left="709"/>
        <w:jc w:val="both"/>
        <w:rPr>
          <w:rFonts w:eastAsiaTheme="minorEastAsia" w:cstheme="minorHAnsi"/>
          <w:lang w:eastAsia="en-AU"/>
        </w:rPr>
      </w:pPr>
      <w:r w:rsidRPr="00160C5A">
        <w:rPr>
          <w:rFonts w:eastAsiaTheme="minorEastAsia" w:cstheme="minorHAnsi"/>
          <w:lang w:eastAsia="en-AU"/>
        </w:rPr>
        <w:t>Full open drivers’ licence is essential.</w:t>
      </w:r>
    </w:p>
    <w:p w14:paraId="71C32661" w14:textId="77777777" w:rsidR="0093459B" w:rsidRDefault="0093459B" w:rsidP="00812BFE">
      <w:pPr>
        <w:spacing w:after="0" w:line="240" w:lineRule="auto"/>
        <w:jc w:val="both"/>
        <w:rPr>
          <w:i/>
        </w:rPr>
      </w:pPr>
    </w:p>
    <w:p w14:paraId="341365DA" w14:textId="729EB4AC" w:rsidR="00812BFE" w:rsidRPr="00812BFE" w:rsidRDefault="00812BFE" w:rsidP="00812BFE">
      <w:pPr>
        <w:spacing w:after="0" w:line="240" w:lineRule="auto"/>
        <w:jc w:val="both"/>
        <w:rPr>
          <w:rFonts w:ascii="Calibri Light" w:hAnsi="Calibri Light" w:cs="Calibri Light"/>
          <w:b/>
          <w:bCs/>
          <w:i/>
          <w:iCs/>
        </w:rPr>
      </w:pPr>
      <w:r w:rsidRPr="00812BFE">
        <w:rPr>
          <w:rFonts w:ascii="Calibri Light" w:hAnsi="Calibri Light" w:cs="Calibri Light"/>
          <w:b/>
          <w:bCs/>
          <w:i/>
          <w:iCs/>
        </w:rPr>
        <w:t>The successful candidate will be required to provide:</w:t>
      </w:r>
    </w:p>
    <w:p w14:paraId="67372BFE" w14:textId="77777777" w:rsidR="00812BFE" w:rsidRDefault="00812BFE" w:rsidP="00812BFE">
      <w:pPr>
        <w:pStyle w:val="ListParagraph"/>
        <w:spacing w:after="0" w:line="240" w:lineRule="auto"/>
        <w:ind w:left="567"/>
        <w:jc w:val="both"/>
        <w:rPr>
          <w:rFonts w:ascii="Calibri Light" w:hAnsi="Calibri Light" w:cs="Calibri Light"/>
        </w:rPr>
      </w:pPr>
    </w:p>
    <w:p w14:paraId="4A9F9A45" w14:textId="77777777" w:rsidR="00812BFE" w:rsidRDefault="00812BFE" w:rsidP="00812BFE">
      <w:pPr>
        <w:pStyle w:val="ListParagraph"/>
        <w:numPr>
          <w:ilvl w:val="0"/>
          <w:numId w:val="21"/>
        </w:numPr>
        <w:spacing w:before="100" w:after="200" w:line="276" w:lineRule="auto"/>
        <w:rPr>
          <w:rFonts w:ascii="Calibri Light" w:hAnsi="Calibri Light" w:cs="Calibri Light"/>
          <w:b/>
          <w:bCs/>
          <w:i/>
          <w:iCs/>
          <w:sz w:val="20"/>
          <w:szCs w:val="20"/>
        </w:rPr>
      </w:pPr>
      <w:r>
        <w:rPr>
          <w:rFonts w:ascii="Calibri Light" w:hAnsi="Calibri Light" w:cs="Calibri Light"/>
          <w:b/>
          <w:bCs/>
          <w:i/>
          <w:iCs/>
        </w:rPr>
        <w:t>A successful criminal record check which is less than 6 months old</w:t>
      </w:r>
    </w:p>
    <w:p w14:paraId="05EB70B2" w14:textId="72A416E9" w:rsidR="00B532E0" w:rsidRPr="00B532E0" w:rsidRDefault="00FC0E81" w:rsidP="00B532E0">
      <w:pPr>
        <w:pStyle w:val="ListParagraph"/>
        <w:numPr>
          <w:ilvl w:val="0"/>
          <w:numId w:val="21"/>
        </w:numPr>
        <w:spacing w:before="100" w:after="200" w:line="276" w:lineRule="auto"/>
        <w:rPr>
          <w:rFonts w:ascii="Calibri Light" w:hAnsi="Calibri Light" w:cs="Calibri Light"/>
          <w:b/>
          <w:bCs/>
          <w:i/>
          <w:iCs/>
        </w:rPr>
      </w:pPr>
      <w:r>
        <w:rPr>
          <w:rFonts w:ascii="Calibri Light" w:hAnsi="Calibri Light" w:cs="Calibri Light"/>
          <w:b/>
          <w:bCs/>
          <w:i/>
          <w:iCs/>
        </w:rPr>
        <w:t>A working</w:t>
      </w:r>
      <w:r w:rsidR="00812BFE">
        <w:rPr>
          <w:rFonts w:ascii="Calibri Light" w:hAnsi="Calibri Light" w:cs="Calibri Light"/>
          <w:b/>
          <w:bCs/>
          <w:i/>
          <w:iCs/>
        </w:rPr>
        <w:t xml:space="preserve"> with children check; </w:t>
      </w:r>
    </w:p>
    <w:p w14:paraId="0B411B26" w14:textId="77777777" w:rsidR="008204EC" w:rsidRDefault="008204EC" w:rsidP="00B532E0">
      <w:pPr>
        <w:spacing w:before="100" w:after="200" w:line="276" w:lineRule="auto"/>
      </w:pPr>
    </w:p>
    <w:p w14:paraId="39A8EA9F" w14:textId="77777777" w:rsidR="008204EC" w:rsidRDefault="008204EC" w:rsidP="00B532E0">
      <w:pPr>
        <w:spacing w:before="100" w:after="200" w:line="276" w:lineRule="auto"/>
      </w:pPr>
    </w:p>
    <w:p w14:paraId="7FFCA741" w14:textId="203D977A" w:rsidR="007C5F2C" w:rsidRPr="00B532E0" w:rsidRDefault="007C5F2C" w:rsidP="00B532E0">
      <w:pPr>
        <w:spacing w:before="100" w:after="200" w:line="276" w:lineRule="auto"/>
        <w:rPr>
          <w:rFonts w:ascii="Calibri Light" w:hAnsi="Calibri Light" w:cs="Calibri Light"/>
          <w:b/>
          <w:bCs/>
          <w:i/>
          <w:iCs/>
        </w:rPr>
      </w:pPr>
      <w:r>
        <w:t>Additional Information</w:t>
      </w:r>
    </w:p>
    <w:p w14:paraId="1AA96EF6" w14:textId="77777777" w:rsidR="007C5F2C" w:rsidRPr="00916D0F" w:rsidRDefault="007C5F2C" w:rsidP="00916D0F">
      <w:pPr>
        <w:numPr>
          <w:ilvl w:val="0"/>
          <w:numId w:val="2"/>
        </w:numPr>
        <w:spacing w:after="0" w:line="276" w:lineRule="auto"/>
        <w:jc w:val="both"/>
        <w:rPr>
          <w:noProof/>
          <w:lang w:val="en-US"/>
        </w:rPr>
      </w:pPr>
      <w:r w:rsidRPr="00916D0F">
        <w:rPr>
          <w:noProof/>
          <w:lang w:val="en-US"/>
        </w:rPr>
        <w:t xml:space="preserve">SuniTAFE supports Equal Employment Opportunity and actively encourages Indigenous applicants to apply. </w:t>
      </w:r>
    </w:p>
    <w:p w14:paraId="7112A111" w14:textId="77777777" w:rsidR="007C5F2C" w:rsidRPr="00916D0F" w:rsidRDefault="007C5F2C" w:rsidP="00916D0F">
      <w:pPr>
        <w:numPr>
          <w:ilvl w:val="0"/>
          <w:numId w:val="2"/>
        </w:numPr>
        <w:spacing w:after="0" w:line="276" w:lineRule="auto"/>
        <w:jc w:val="both"/>
        <w:rPr>
          <w:noProof/>
          <w:lang w:val="en-US"/>
        </w:rPr>
      </w:pPr>
      <w:r w:rsidRPr="00916D0F">
        <w:rPr>
          <w:noProof/>
          <w:lang w:val="en-US"/>
        </w:rPr>
        <w:t>SuniTAFE promotes the safely, wellbeing and inclusion of all children including those with a disability.</w:t>
      </w:r>
    </w:p>
    <w:p w14:paraId="72B9F0E0" w14:textId="77777777" w:rsidR="007C5F2C" w:rsidRPr="00916D0F" w:rsidRDefault="007C5F2C" w:rsidP="00916D0F">
      <w:pPr>
        <w:numPr>
          <w:ilvl w:val="0"/>
          <w:numId w:val="2"/>
        </w:numPr>
        <w:spacing w:after="0" w:line="276" w:lineRule="auto"/>
        <w:jc w:val="both"/>
        <w:rPr>
          <w:noProof/>
          <w:lang w:val="en-US"/>
        </w:rPr>
      </w:pPr>
      <w:r w:rsidRPr="00916D0F">
        <w:rPr>
          <w:noProof/>
          <w:lang w:val="en-US"/>
        </w:rPr>
        <w:t>Position, requirements, classification skill level required and conditions in accordance with Sunraysia Institute of TAFE (PACCT) Enterprise Agreement 2021.</w:t>
      </w:r>
    </w:p>
    <w:p w14:paraId="1BE0F792" w14:textId="77777777" w:rsidR="00DF2760" w:rsidRDefault="00DF2760" w:rsidP="00DF2760"/>
    <w:p w14:paraId="20864B05" w14:textId="77777777" w:rsidR="00DF2760" w:rsidRDefault="00DF2760" w:rsidP="00DF2760"/>
    <w:p w14:paraId="5AF8D462" w14:textId="77777777" w:rsidR="00DF2760" w:rsidRPr="00DF2760" w:rsidRDefault="00DF2760" w:rsidP="00DF2760"/>
    <w:sectPr w:rsidR="00DF2760" w:rsidRPr="00DF2760" w:rsidSect="007F030F">
      <w:headerReference w:type="default" r:id="rId9"/>
      <w:footerReference w:type="default" r:id="rId10"/>
      <w:pgSz w:w="11906" w:h="16838"/>
      <w:pgMar w:top="1843" w:right="1440" w:bottom="1440" w:left="1440" w:header="851" w:footer="4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5480" w14:textId="77777777" w:rsidR="00DF1980" w:rsidRDefault="00DF1980" w:rsidP="00D1781B">
      <w:pPr>
        <w:spacing w:after="0" w:line="240" w:lineRule="auto"/>
      </w:pPr>
      <w:r>
        <w:separator/>
      </w:r>
    </w:p>
  </w:endnote>
  <w:endnote w:type="continuationSeparator" w:id="0">
    <w:p w14:paraId="46EAA68E" w14:textId="77777777" w:rsidR="00DF1980" w:rsidRDefault="00DF1980" w:rsidP="00D1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Omega">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257269"/>
      <w:docPartObj>
        <w:docPartGallery w:val="Page Numbers (Bottom of Page)"/>
        <w:docPartUnique/>
      </w:docPartObj>
    </w:sdtPr>
    <w:sdtEndPr>
      <w:rPr>
        <w:noProof/>
        <w:sz w:val="16"/>
      </w:rPr>
    </w:sdtEndPr>
    <w:sdtContent>
      <w:p w14:paraId="00EC79CB" w14:textId="77777777" w:rsidR="00FC0E81" w:rsidRPr="00D1781B" w:rsidRDefault="00FC0E81" w:rsidP="00D1781B">
        <w:pPr>
          <w:pStyle w:val="Header"/>
          <w:pBdr>
            <w:top w:val="single" w:sz="8" w:space="1" w:color="auto"/>
          </w:pBdr>
        </w:pPr>
        <w:r>
          <w:rPr>
            <w:sz w:val="16"/>
          </w:rPr>
          <w:t>App</w:t>
        </w:r>
        <w:r w:rsidRPr="00D1781B">
          <w:rPr>
            <w:sz w:val="16"/>
          </w:rPr>
          <w:t>roved by: S Picken, 2017</w:t>
        </w:r>
      </w:p>
      <w:p w14:paraId="0B091054" w14:textId="77777777" w:rsidR="00FC0E81" w:rsidRPr="00D1781B" w:rsidRDefault="00FC0E81" w:rsidP="00D1781B">
        <w:pPr>
          <w:pStyle w:val="Footer"/>
          <w:rPr>
            <w:sz w:val="16"/>
          </w:rPr>
        </w:pPr>
        <w:r w:rsidRPr="00D1781B">
          <w:rPr>
            <w:sz w:val="16"/>
          </w:rPr>
          <w:t>Version: 1</w:t>
        </w:r>
      </w:p>
      <w:p w14:paraId="75C4271A" w14:textId="6B94F37A" w:rsidR="00FC0E81" w:rsidRPr="00D1781B" w:rsidRDefault="00FC0E81" w:rsidP="00D1781B">
        <w:pPr>
          <w:pStyle w:val="Footer"/>
          <w:jc w:val="right"/>
          <w:rPr>
            <w:sz w:val="16"/>
          </w:rPr>
        </w:pPr>
        <w:r w:rsidRPr="00D1781B">
          <w:rPr>
            <w:sz w:val="16"/>
          </w:rPr>
          <w:fldChar w:fldCharType="begin"/>
        </w:r>
        <w:r w:rsidRPr="00D1781B">
          <w:rPr>
            <w:sz w:val="16"/>
          </w:rPr>
          <w:instrText xml:space="preserve"> PAGE   \* MERGEFORMAT </w:instrText>
        </w:r>
        <w:r w:rsidRPr="00D1781B">
          <w:rPr>
            <w:sz w:val="16"/>
          </w:rPr>
          <w:fldChar w:fldCharType="separate"/>
        </w:r>
        <w:r>
          <w:rPr>
            <w:noProof/>
            <w:sz w:val="16"/>
          </w:rPr>
          <w:t>3</w:t>
        </w:r>
        <w:r w:rsidRPr="00D1781B">
          <w:rPr>
            <w:noProof/>
            <w:sz w:val="16"/>
          </w:rPr>
          <w:fldChar w:fldCharType="end"/>
        </w:r>
      </w:p>
    </w:sdtContent>
  </w:sdt>
  <w:p w14:paraId="011D0BD2" w14:textId="77777777" w:rsidR="00FC0E81" w:rsidRPr="00D1781B" w:rsidRDefault="00FC0E8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86D2" w14:textId="77777777" w:rsidR="00DF1980" w:rsidRDefault="00DF1980" w:rsidP="00D1781B">
      <w:pPr>
        <w:spacing w:after="0" w:line="240" w:lineRule="auto"/>
      </w:pPr>
      <w:r>
        <w:separator/>
      </w:r>
    </w:p>
  </w:footnote>
  <w:footnote w:type="continuationSeparator" w:id="0">
    <w:p w14:paraId="6F2DD428" w14:textId="77777777" w:rsidR="00DF1980" w:rsidRDefault="00DF1980" w:rsidP="00D17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E2FF" w14:textId="77777777" w:rsidR="00FC0E81" w:rsidRDefault="00FC0E81" w:rsidP="00E93679">
    <w:pPr>
      <w:pStyle w:val="Header"/>
      <w:jc w:val="right"/>
    </w:pPr>
    <w:r>
      <w:rPr>
        <w:noProof/>
        <w:lang w:eastAsia="en-AU"/>
      </w:rPr>
      <w:drawing>
        <wp:inline distT="0" distB="0" distL="0" distR="0" wp14:anchorId="57C28B2B" wp14:editId="5D61E6EE">
          <wp:extent cx="854710" cy="411068"/>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85583" cy="425916"/>
                  </a:xfrm>
                  <a:prstGeom prst="rect">
                    <a:avLst/>
                  </a:prstGeom>
                </pic:spPr>
              </pic:pic>
            </a:graphicData>
          </a:graphic>
        </wp:inline>
      </w:drawing>
    </w:r>
    <w:r>
      <w:rPr>
        <w:noProof/>
        <w:lang w:eastAsia="en-AU"/>
      </w:rPr>
      <mc:AlternateContent>
        <mc:Choice Requires="wps">
          <w:drawing>
            <wp:anchor distT="45720" distB="45720" distL="114300" distR="114300" simplePos="0" relativeHeight="251660288" behindDoc="0" locked="0" layoutInCell="1" allowOverlap="1" wp14:anchorId="0FE53166" wp14:editId="66A4CFF9">
              <wp:simplePos x="0" y="0"/>
              <wp:positionH relativeFrom="margin">
                <wp:align>left</wp:align>
              </wp:positionH>
              <wp:positionV relativeFrom="paragraph">
                <wp:posOffset>-95437</wp:posOffset>
              </wp:positionV>
              <wp:extent cx="3599180" cy="14046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1404620"/>
                      </a:xfrm>
                      <a:prstGeom prst="rect">
                        <a:avLst/>
                      </a:prstGeom>
                      <a:solidFill>
                        <a:srgbClr val="FFFFFF"/>
                      </a:solidFill>
                      <a:ln w="9525">
                        <a:noFill/>
                        <a:miter lim="800000"/>
                        <a:headEnd/>
                        <a:tailEnd/>
                      </a:ln>
                    </wps:spPr>
                    <wps:txbx>
                      <w:txbxContent>
                        <w:p w14:paraId="5BCB6CF4" w14:textId="351D1AEA" w:rsidR="00FC0E81" w:rsidRPr="0093459B" w:rsidRDefault="00262641" w:rsidP="007F030F">
                          <w:pPr>
                            <w:pStyle w:val="Heading2"/>
                            <w:rPr>
                              <w:color w:val="auto"/>
                            </w:rPr>
                          </w:pPr>
                          <w:r w:rsidRPr="0093459B">
                            <w:rPr>
                              <w:color w:val="auto"/>
                            </w:rPr>
                            <w:t>JRP Assessor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53166" id="_x0000_t202" coordsize="21600,21600" o:spt="202" path="m,l,21600r21600,l21600,xe">
              <v:stroke joinstyle="miter"/>
              <v:path gradientshapeok="t" o:connecttype="rect"/>
            </v:shapetype>
            <v:shape id="Text Box 2" o:spid="_x0000_s1026" type="#_x0000_t202" style="position:absolute;left:0;text-align:left;margin-left:0;margin-top:-7.5pt;width:283.4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ekIQ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" stroked="f">
              <v:textbox style="mso-fit-shape-to-text:t">
                <w:txbxContent>
                  <w:p w14:paraId="5BCB6CF4" w14:textId="351D1AEA" w:rsidR="00FC0E81" w:rsidRPr="0093459B" w:rsidRDefault="00262641" w:rsidP="007F030F">
                    <w:pPr>
                      <w:pStyle w:val="Heading2"/>
                      <w:rPr>
                        <w:color w:val="auto"/>
                      </w:rPr>
                    </w:pPr>
                    <w:r w:rsidRPr="0093459B">
                      <w:rPr>
                        <w:color w:val="auto"/>
                      </w:rPr>
                      <w:t>JRP Assessor</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G Omega" w:hAnsi="CG Omega"/>
        <w:b/>
        <w:sz w:val="24"/>
      </w:rPr>
    </w:lvl>
    <w:lvl w:ilvl="1">
      <w:start w:val="1"/>
      <w:numFmt w:val="decimal"/>
      <w:pStyle w:val="Level2"/>
      <w:lvlText w:val="%1.%2"/>
      <w:lvlJc w:val="left"/>
      <w:pPr>
        <w:tabs>
          <w:tab w:val="num" w:pos="1440"/>
        </w:tabs>
        <w:ind w:left="1440" w:hanging="720"/>
      </w:pPr>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F85170"/>
    <w:multiLevelType w:val="hybridMultilevel"/>
    <w:tmpl w:val="5450EE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431DF7"/>
    <w:multiLevelType w:val="hybridMultilevel"/>
    <w:tmpl w:val="82B002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483604"/>
    <w:multiLevelType w:val="hybridMultilevel"/>
    <w:tmpl w:val="EBF8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BF6AB2"/>
    <w:multiLevelType w:val="hybridMultilevel"/>
    <w:tmpl w:val="E154FAA4"/>
    <w:lvl w:ilvl="0" w:tplc="0C090005">
      <w:start w:val="1"/>
      <w:numFmt w:val="bullet"/>
      <w:lvlText w:val=""/>
      <w:lvlJc w:val="left"/>
      <w:pPr>
        <w:ind w:left="768" w:hanging="360"/>
      </w:pPr>
      <w:rPr>
        <w:rFonts w:ascii="Wingdings" w:hAnsi="Wingdings"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11F819C8"/>
    <w:multiLevelType w:val="multilevel"/>
    <w:tmpl w:val="A54E1E7E"/>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68C3BCB"/>
    <w:multiLevelType w:val="hybridMultilevel"/>
    <w:tmpl w:val="3826681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534CD"/>
    <w:multiLevelType w:val="hybridMultilevel"/>
    <w:tmpl w:val="D7B01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D7A1B"/>
    <w:multiLevelType w:val="hybridMultilevel"/>
    <w:tmpl w:val="3FCE352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1AEC7901"/>
    <w:multiLevelType w:val="hybridMultilevel"/>
    <w:tmpl w:val="E264A072"/>
    <w:lvl w:ilvl="0" w:tplc="D0CCC9D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04A73E8">
      <w:start w:val="1"/>
      <w:numFmt w:val="bullet"/>
      <w:lvlText w:val="o"/>
      <w:lvlJc w:val="left"/>
      <w:pPr>
        <w:ind w:left="1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12C7A6">
      <w:start w:val="1"/>
      <w:numFmt w:val="bullet"/>
      <w:lvlText w:val="▪"/>
      <w:lvlJc w:val="left"/>
      <w:pPr>
        <w:ind w:left="2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BEEA3C">
      <w:start w:val="1"/>
      <w:numFmt w:val="bullet"/>
      <w:lvlText w:val="•"/>
      <w:lvlJc w:val="left"/>
      <w:pPr>
        <w:ind w:left="2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BED72A">
      <w:start w:val="1"/>
      <w:numFmt w:val="bullet"/>
      <w:lvlText w:val="o"/>
      <w:lvlJc w:val="left"/>
      <w:pPr>
        <w:ind w:left="3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688D09C">
      <w:start w:val="1"/>
      <w:numFmt w:val="bullet"/>
      <w:lvlText w:val="▪"/>
      <w:lvlJc w:val="left"/>
      <w:pPr>
        <w:ind w:left="4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A20383A">
      <w:start w:val="1"/>
      <w:numFmt w:val="bullet"/>
      <w:lvlText w:val="•"/>
      <w:lvlJc w:val="left"/>
      <w:pPr>
        <w:ind w:left="5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F8C54E0">
      <w:start w:val="1"/>
      <w:numFmt w:val="bullet"/>
      <w:lvlText w:val="o"/>
      <w:lvlJc w:val="left"/>
      <w:pPr>
        <w:ind w:left="5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FBCFF76">
      <w:start w:val="1"/>
      <w:numFmt w:val="bullet"/>
      <w:lvlText w:val="▪"/>
      <w:lvlJc w:val="left"/>
      <w:pPr>
        <w:ind w:left="6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6C053C"/>
    <w:multiLevelType w:val="hybridMultilevel"/>
    <w:tmpl w:val="1D4EB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911A04"/>
    <w:multiLevelType w:val="hybridMultilevel"/>
    <w:tmpl w:val="EF2E61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F750ECC"/>
    <w:multiLevelType w:val="hybridMultilevel"/>
    <w:tmpl w:val="99F6E91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686247E"/>
    <w:multiLevelType w:val="hybridMultilevel"/>
    <w:tmpl w:val="8436A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E3357E"/>
    <w:multiLevelType w:val="hybridMultilevel"/>
    <w:tmpl w:val="B47EB99C"/>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BF751BE"/>
    <w:multiLevelType w:val="hybridMultilevel"/>
    <w:tmpl w:val="68D06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8B7C1D"/>
    <w:multiLevelType w:val="hybridMultilevel"/>
    <w:tmpl w:val="6E10E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960C6"/>
    <w:multiLevelType w:val="hybridMultilevel"/>
    <w:tmpl w:val="D104018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6923642"/>
    <w:multiLevelType w:val="multilevel"/>
    <w:tmpl w:val="67CC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534FF"/>
    <w:multiLevelType w:val="hybridMultilevel"/>
    <w:tmpl w:val="A01271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1580382"/>
    <w:multiLevelType w:val="multilevel"/>
    <w:tmpl w:val="9BF0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F43C75"/>
    <w:multiLevelType w:val="hybridMultilevel"/>
    <w:tmpl w:val="BA549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CAD53D9"/>
    <w:multiLevelType w:val="hybridMultilevel"/>
    <w:tmpl w:val="09DEEE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2104B9"/>
    <w:multiLevelType w:val="hybridMultilevel"/>
    <w:tmpl w:val="7FE02C0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4" w15:restartNumberingAfterBreak="0">
    <w:nsid w:val="59641172"/>
    <w:multiLevelType w:val="hybridMultilevel"/>
    <w:tmpl w:val="DB20D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A3706C"/>
    <w:multiLevelType w:val="hybridMultilevel"/>
    <w:tmpl w:val="76EA66D2"/>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6" w15:restartNumberingAfterBreak="0">
    <w:nsid w:val="5AAE7BB6"/>
    <w:multiLevelType w:val="hybridMultilevel"/>
    <w:tmpl w:val="7F02E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44658B"/>
    <w:multiLevelType w:val="hybridMultilevel"/>
    <w:tmpl w:val="C2FA9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B53FDB"/>
    <w:multiLevelType w:val="hybridMultilevel"/>
    <w:tmpl w:val="D20A4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DB3D1B"/>
    <w:multiLevelType w:val="hybridMultilevel"/>
    <w:tmpl w:val="D89C9B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568FD"/>
    <w:multiLevelType w:val="hybridMultilevel"/>
    <w:tmpl w:val="3B349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8D033A"/>
    <w:multiLevelType w:val="hybridMultilevel"/>
    <w:tmpl w:val="FFD2C1DE"/>
    <w:lvl w:ilvl="0" w:tplc="0C090001">
      <w:start w:val="1"/>
      <w:numFmt w:val="bullet"/>
      <w:lvlText w:val=""/>
      <w:lvlJc w:val="left"/>
      <w:pPr>
        <w:ind w:left="729" w:hanging="360"/>
      </w:pPr>
      <w:rPr>
        <w:rFonts w:ascii="Symbol" w:hAnsi="Symbol" w:hint="default"/>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32" w15:restartNumberingAfterBreak="0">
    <w:nsid w:val="76777FC5"/>
    <w:multiLevelType w:val="hybridMultilevel"/>
    <w:tmpl w:val="E676D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86163E"/>
    <w:multiLevelType w:val="hybridMultilevel"/>
    <w:tmpl w:val="03787E4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C22782"/>
    <w:multiLevelType w:val="hybridMultilevel"/>
    <w:tmpl w:val="CB226458"/>
    <w:lvl w:ilvl="0" w:tplc="0C090001">
      <w:start w:val="1"/>
      <w:numFmt w:val="bullet"/>
      <w:lvlText w:val=""/>
      <w:lvlJc w:val="left"/>
      <w:pPr>
        <w:ind w:left="1488" w:hanging="360"/>
      </w:pPr>
      <w:rPr>
        <w:rFonts w:ascii="Symbol" w:hAnsi="Symbol" w:hint="default"/>
      </w:rPr>
    </w:lvl>
    <w:lvl w:ilvl="1" w:tplc="0C090003" w:tentative="1">
      <w:start w:val="1"/>
      <w:numFmt w:val="bullet"/>
      <w:lvlText w:val="o"/>
      <w:lvlJc w:val="left"/>
      <w:pPr>
        <w:ind w:left="2208" w:hanging="360"/>
      </w:pPr>
      <w:rPr>
        <w:rFonts w:ascii="Courier New" w:hAnsi="Courier New" w:cs="Courier New" w:hint="default"/>
      </w:rPr>
    </w:lvl>
    <w:lvl w:ilvl="2" w:tplc="0C090005" w:tentative="1">
      <w:start w:val="1"/>
      <w:numFmt w:val="bullet"/>
      <w:lvlText w:val=""/>
      <w:lvlJc w:val="left"/>
      <w:pPr>
        <w:ind w:left="2928" w:hanging="360"/>
      </w:pPr>
      <w:rPr>
        <w:rFonts w:ascii="Wingdings" w:hAnsi="Wingdings" w:hint="default"/>
      </w:rPr>
    </w:lvl>
    <w:lvl w:ilvl="3" w:tplc="0C090001" w:tentative="1">
      <w:start w:val="1"/>
      <w:numFmt w:val="bullet"/>
      <w:lvlText w:val=""/>
      <w:lvlJc w:val="left"/>
      <w:pPr>
        <w:ind w:left="3648" w:hanging="360"/>
      </w:pPr>
      <w:rPr>
        <w:rFonts w:ascii="Symbol" w:hAnsi="Symbol" w:hint="default"/>
      </w:rPr>
    </w:lvl>
    <w:lvl w:ilvl="4" w:tplc="0C090003" w:tentative="1">
      <w:start w:val="1"/>
      <w:numFmt w:val="bullet"/>
      <w:lvlText w:val="o"/>
      <w:lvlJc w:val="left"/>
      <w:pPr>
        <w:ind w:left="4368" w:hanging="360"/>
      </w:pPr>
      <w:rPr>
        <w:rFonts w:ascii="Courier New" w:hAnsi="Courier New" w:cs="Courier New" w:hint="default"/>
      </w:rPr>
    </w:lvl>
    <w:lvl w:ilvl="5" w:tplc="0C090005" w:tentative="1">
      <w:start w:val="1"/>
      <w:numFmt w:val="bullet"/>
      <w:lvlText w:val=""/>
      <w:lvlJc w:val="left"/>
      <w:pPr>
        <w:ind w:left="5088" w:hanging="360"/>
      </w:pPr>
      <w:rPr>
        <w:rFonts w:ascii="Wingdings" w:hAnsi="Wingdings" w:hint="default"/>
      </w:rPr>
    </w:lvl>
    <w:lvl w:ilvl="6" w:tplc="0C090001" w:tentative="1">
      <w:start w:val="1"/>
      <w:numFmt w:val="bullet"/>
      <w:lvlText w:val=""/>
      <w:lvlJc w:val="left"/>
      <w:pPr>
        <w:ind w:left="5808" w:hanging="360"/>
      </w:pPr>
      <w:rPr>
        <w:rFonts w:ascii="Symbol" w:hAnsi="Symbol" w:hint="default"/>
      </w:rPr>
    </w:lvl>
    <w:lvl w:ilvl="7" w:tplc="0C090003" w:tentative="1">
      <w:start w:val="1"/>
      <w:numFmt w:val="bullet"/>
      <w:lvlText w:val="o"/>
      <w:lvlJc w:val="left"/>
      <w:pPr>
        <w:ind w:left="6528" w:hanging="360"/>
      </w:pPr>
      <w:rPr>
        <w:rFonts w:ascii="Courier New" w:hAnsi="Courier New" w:cs="Courier New" w:hint="default"/>
      </w:rPr>
    </w:lvl>
    <w:lvl w:ilvl="8" w:tplc="0C090005" w:tentative="1">
      <w:start w:val="1"/>
      <w:numFmt w:val="bullet"/>
      <w:lvlText w:val=""/>
      <w:lvlJc w:val="left"/>
      <w:pPr>
        <w:ind w:left="7248" w:hanging="360"/>
      </w:pPr>
      <w:rPr>
        <w:rFonts w:ascii="Wingdings" w:hAnsi="Wingdings" w:hint="default"/>
      </w:rPr>
    </w:lvl>
  </w:abstractNum>
  <w:abstractNum w:abstractNumId="35" w15:restartNumberingAfterBreak="0">
    <w:nsid w:val="780D5714"/>
    <w:multiLevelType w:val="hybridMultilevel"/>
    <w:tmpl w:val="2FE0F2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89423BE"/>
    <w:multiLevelType w:val="hybridMultilevel"/>
    <w:tmpl w:val="34007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A613853"/>
    <w:multiLevelType w:val="multilevel"/>
    <w:tmpl w:val="0FB86CE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7C6337CD"/>
    <w:multiLevelType w:val="hybridMultilevel"/>
    <w:tmpl w:val="D29EA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0"/>
  </w:num>
  <w:num w:numId="5">
    <w:abstractNumId w:val="21"/>
  </w:num>
  <w:num w:numId="6">
    <w:abstractNumId w:val="25"/>
  </w:num>
  <w:num w:numId="7">
    <w:abstractNumId w:val="27"/>
  </w:num>
  <w:num w:numId="8">
    <w:abstractNumId w:val="9"/>
  </w:num>
  <w:num w:numId="9">
    <w:abstractNumId w:val="22"/>
  </w:num>
  <w:num w:numId="10">
    <w:abstractNumId w:val="20"/>
  </w:num>
  <w:num w:numId="11">
    <w:abstractNumId w:val="37"/>
  </w:num>
  <w:num w:numId="12">
    <w:abstractNumId w:val="5"/>
  </w:num>
  <w:num w:numId="13">
    <w:abstractNumId w:val="17"/>
  </w:num>
  <w:num w:numId="14">
    <w:abstractNumId w:val="18"/>
  </w:num>
  <w:num w:numId="15">
    <w:abstractNumId w:val="13"/>
  </w:num>
  <w:num w:numId="16">
    <w:abstractNumId w:val="14"/>
  </w:num>
  <w:num w:numId="17">
    <w:abstractNumId w:val="32"/>
  </w:num>
  <w:num w:numId="18">
    <w:abstractNumId w:val="1"/>
  </w:num>
  <w:num w:numId="19">
    <w:abstractNumId w:val="8"/>
  </w:num>
  <w:num w:numId="20">
    <w:abstractNumId w:val="28"/>
  </w:num>
  <w:num w:numId="21">
    <w:abstractNumId w:val="23"/>
  </w:num>
  <w:num w:numId="22">
    <w:abstractNumId w:val="26"/>
  </w:num>
  <w:num w:numId="23">
    <w:abstractNumId w:val="6"/>
  </w:num>
  <w:num w:numId="24">
    <w:abstractNumId w:val="15"/>
  </w:num>
  <w:num w:numId="25">
    <w:abstractNumId w:val="4"/>
  </w:num>
  <w:num w:numId="26">
    <w:abstractNumId w:val="33"/>
  </w:num>
  <w:num w:numId="27">
    <w:abstractNumId w:val="12"/>
  </w:num>
  <w:num w:numId="28">
    <w:abstractNumId w:val="36"/>
  </w:num>
  <w:num w:numId="29">
    <w:abstractNumId w:val="7"/>
  </w:num>
  <w:num w:numId="30">
    <w:abstractNumId w:val="34"/>
  </w:num>
  <w:num w:numId="31">
    <w:abstractNumId w:val="10"/>
  </w:num>
  <w:num w:numId="32">
    <w:abstractNumId w:val="38"/>
  </w:num>
  <w:num w:numId="33">
    <w:abstractNumId w:val="24"/>
  </w:num>
  <w:num w:numId="34">
    <w:abstractNumId w:val="35"/>
  </w:num>
  <w:num w:numId="35">
    <w:abstractNumId w:val="2"/>
  </w:num>
  <w:num w:numId="36">
    <w:abstractNumId w:val="29"/>
  </w:num>
  <w:num w:numId="37">
    <w:abstractNumId w:val="19"/>
  </w:num>
  <w:num w:numId="38">
    <w:abstractNumId w:val="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AB"/>
    <w:rsid w:val="00060512"/>
    <w:rsid w:val="00064713"/>
    <w:rsid w:val="00090A4E"/>
    <w:rsid w:val="000F1D99"/>
    <w:rsid w:val="00126515"/>
    <w:rsid w:val="0016526C"/>
    <w:rsid w:val="00186B5F"/>
    <w:rsid w:val="001B59AC"/>
    <w:rsid w:val="00262641"/>
    <w:rsid w:val="002917DB"/>
    <w:rsid w:val="00305011"/>
    <w:rsid w:val="0031099B"/>
    <w:rsid w:val="00354128"/>
    <w:rsid w:val="00363F10"/>
    <w:rsid w:val="00384FDC"/>
    <w:rsid w:val="003A1909"/>
    <w:rsid w:val="003D26B8"/>
    <w:rsid w:val="004105BC"/>
    <w:rsid w:val="00416EBB"/>
    <w:rsid w:val="00425783"/>
    <w:rsid w:val="00441758"/>
    <w:rsid w:val="004746B9"/>
    <w:rsid w:val="004A2305"/>
    <w:rsid w:val="004C6898"/>
    <w:rsid w:val="004E5347"/>
    <w:rsid w:val="005635B3"/>
    <w:rsid w:val="00581C2A"/>
    <w:rsid w:val="00586764"/>
    <w:rsid w:val="006070EC"/>
    <w:rsid w:val="00621546"/>
    <w:rsid w:val="0064634B"/>
    <w:rsid w:val="0065397E"/>
    <w:rsid w:val="00677E7F"/>
    <w:rsid w:val="006B1944"/>
    <w:rsid w:val="006B3DAB"/>
    <w:rsid w:val="006C4C91"/>
    <w:rsid w:val="006E6D12"/>
    <w:rsid w:val="006F0515"/>
    <w:rsid w:val="00712AFE"/>
    <w:rsid w:val="00713AEC"/>
    <w:rsid w:val="0073775F"/>
    <w:rsid w:val="00761EB1"/>
    <w:rsid w:val="00775AB8"/>
    <w:rsid w:val="007B1140"/>
    <w:rsid w:val="007C5F2C"/>
    <w:rsid w:val="007D5271"/>
    <w:rsid w:val="007E0577"/>
    <w:rsid w:val="007E1EE2"/>
    <w:rsid w:val="007E5300"/>
    <w:rsid w:val="007F030F"/>
    <w:rsid w:val="00812BFE"/>
    <w:rsid w:val="008204EC"/>
    <w:rsid w:val="00834FB9"/>
    <w:rsid w:val="00854532"/>
    <w:rsid w:val="008B7357"/>
    <w:rsid w:val="0090232B"/>
    <w:rsid w:val="00916D0F"/>
    <w:rsid w:val="00917FA3"/>
    <w:rsid w:val="0093459B"/>
    <w:rsid w:val="00963FBF"/>
    <w:rsid w:val="00990674"/>
    <w:rsid w:val="009F6A1C"/>
    <w:rsid w:val="00AC70BB"/>
    <w:rsid w:val="00AD4B73"/>
    <w:rsid w:val="00AF4363"/>
    <w:rsid w:val="00AF487E"/>
    <w:rsid w:val="00B0592D"/>
    <w:rsid w:val="00B14C9D"/>
    <w:rsid w:val="00B2447D"/>
    <w:rsid w:val="00B532E0"/>
    <w:rsid w:val="00B54D1D"/>
    <w:rsid w:val="00B624E0"/>
    <w:rsid w:val="00B727F9"/>
    <w:rsid w:val="00B973CE"/>
    <w:rsid w:val="00BA0E8D"/>
    <w:rsid w:val="00BA67AB"/>
    <w:rsid w:val="00C05661"/>
    <w:rsid w:val="00C2742E"/>
    <w:rsid w:val="00C36475"/>
    <w:rsid w:val="00C64772"/>
    <w:rsid w:val="00CA1B48"/>
    <w:rsid w:val="00CF28DC"/>
    <w:rsid w:val="00CF7740"/>
    <w:rsid w:val="00D02BE9"/>
    <w:rsid w:val="00D1335F"/>
    <w:rsid w:val="00D1781B"/>
    <w:rsid w:val="00D27C99"/>
    <w:rsid w:val="00D71890"/>
    <w:rsid w:val="00DB79C9"/>
    <w:rsid w:val="00DE3FF5"/>
    <w:rsid w:val="00DF1980"/>
    <w:rsid w:val="00DF2760"/>
    <w:rsid w:val="00E12A3A"/>
    <w:rsid w:val="00E135DD"/>
    <w:rsid w:val="00E6538E"/>
    <w:rsid w:val="00E93679"/>
    <w:rsid w:val="00EC371A"/>
    <w:rsid w:val="00EC4991"/>
    <w:rsid w:val="00F60CCB"/>
    <w:rsid w:val="00F745DA"/>
    <w:rsid w:val="00F92C8F"/>
    <w:rsid w:val="00FA23D6"/>
    <w:rsid w:val="00FC0E81"/>
    <w:rsid w:val="00FD5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357592"/>
  <w15:chartTrackingRefBased/>
  <w15:docId w15:val="{025716F8-9981-46F5-87CE-8B12C095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30F"/>
    <w:pPr>
      <w:keepNext/>
      <w:keepLines/>
      <w:spacing w:before="240" w:after="0"/>
      <w:outlineLvl w:val="0"/>
    </w:pPr>
    <w:rPr>
      <w:rFonts w:asciiTheme="majorHAnsi" w:eastAsiaTheme="majorEastAsia" w:hAnsiTheme="majorHAnsi" w:cstheme="majorBidi"/>
      <w:color w:val="404040" w:themeColor="text1" w:themeTint="BF"/>
      <w:sz w:val="32"/>
      <w:szCs w:val="32"/>
    </w:rPr>
  </w:style>
  <w:style w:type="paragraph" w:styleId="Heading2">
    <w:name w:val="heading 2"/>
    <w:basedOn w:val="Normal"/>
    <w:next w:val="Normal"/>
    <w:link w:val="Heading2Char"/>
    <w:uiPriority w:val="9"/>
    <w:unhideWhenUsed/>
    <w:qFormat/>
    <w:rsid w:val="007F030F"/>
    <w:pPr>
      <w:keepNext/>
      <w:keepLines/>
      <w:spacing w:before="40" w:after="0"/>
      <w:outlineLvl w:val="1"/>
    </w:pPr>
    <w:rPr>
      <w:rFonts w:asciiTheme="majorHAnsi" w:eastAsiaTheme="majorEastAsia" w:hAnsiTheme="majorHAnsi" w:cstheme="majorBidi"/>
      <w:color w:val="3B3838" w:themeColor="background2" w:themeShade="4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030F"/>
    <w:pPr>
      <w:spacing w:after="0" w:line="240" w:lineRule="auto"/>
      <w:contextualSpacing/>
    </w:pPr>
    <w:rPr>
      <w:rFonts w:asciiTheme="majorHAnsi" w:eastAsiaTheme="majorEastAsia" w:hAnsiTheme="majorHAnsi" w:cstheme="majorBidi"/>
      <w:color w:val="262626" w:themeColor="text1" w:themeTint="D9"/>
      <w:spacing w:val="-10"/>
      <w:kern w:val="28"/>
      <w:sz w:val="56"/>
      <w:szCs w:val="56"/>
    </w:rPr>
  </w:style>
  <w:style w:type="character" w:customStyle="1" w:styleId="TitleChar">
    <w:name w:val="Title Char"/>
    <w:basedOn w:val="DefaultParagraphFont"/>
    <w:link w:val="Title"/>
    <w:uiPriority w:val="10"/>
    <w:rsid w:val="007F030F"/>
    <w:rPr>
      <w:rFonts w:asciiTheme="majorHAnsi" w:eastAsiaTheme="majorEastAsia" w:hAnsiTheme="majorHAnsi" w:cstheme="majorBidi"/>
      <w:color w:val="262626" w:themeColor="text1" w:themeTint="D9"/>
      <w:spacing w:val="-10"/>
      <w:kern w:val="28"/>
      <w:sz w:val="56"/>
      <w:szCs w:val="56"/>
    </w:rPr>
  </w:style>
  <w:style w:type="character" w:customStyle="1" w:styleId="Heading1Char">
    <w:name w:val="Heading 1 Char"/>
    <w:basedOn w:val="DefaultParagraphFont"/>
    <w:link w:val="Heading1"/>
    <w:uiPriority w:val="9"/>
    <w:rsid w:val="007F030F"/>
    <w:rPr>
      <w:rFonts w:asciiTheme="majorHAnsi" w:eastAsiaTheme="majorEastAsia" w:hAnsiTheme="majorHAnsi" w:cstheme="majorBidi"/>
      <w:color w:val="404040" w:themeColor="text1" w:themeTint="BF"/>
      <w:sz w:val="32"/>
      <w:szCs w:val="32"/>
    </w:rPr>
  </w:style>
  <w:style w:type="character" w:customStyle="1" w:styleId="Heading2Char">
    <w:name w:val="Heading 2 Char"/>
    <w:basedOn w:val="DefaultParagraphFont"/>
    <w:link w:val="Heading2"/>
    <w:uiPriority w:val="9"/>
    <w:rsid w:val="007F030F"/>
    <w:rPr>
      <w:rFonts w:asciiTheme="majorHAnsi" w:eastAsiaTheme="majorEastAsia" w:hAnsiTheme="majorHAnsi" w:cstheme="majorBidi"/>
      <w:color w:val="3B3838" w:themeColor="background2" w:themeShade="40"/>
      <w:sz w:val="26"/>
      <w:szCs w:val="26"/>
    </w:rPr>
  </w:style>
  <w:style w:type="table" w:styleId="TableGrid">
    <w:name w:val="Table Grid"/>
    <w:basedOn w:val="TableNormal"/>
    <w:uiPriority w:val="39"/>
    <w:rsid w:val="00B24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47D"/>
    <w:pPr>
      <w:ind w:left="720"/>
      <w:contextualSpacing/>
    </w:pPr>
  </w:style>
  <w:style w:type="paragraph" w:styleId="BodyTextIndent">
    <w:name w:val="Body Text Indent"/>
    <w:basedOn w:val="Normal"/>
    <w:link w:val="BodyTextIndentChar"/>
    <w:rsid w:val="00B2447D"/>
    <w:pPr>
      <w:spacing w:before="100" w:after="120" w:line="276" w:lineRule="auto"/>
      <w:ind w:left="283"/>
    </w:pPr>
    <w:rPr>
      <w:rFonts w:eastAsiaTheme="minorEastAsia"/>
      <w:sz w:val="20"/>
      <w:szCs w:val="20"/>
      <w:lang w:eastAsia="en-AU"/>
    </w:rPr>
  </w:style>
  <w:style w:type="character" w:customStyle="1" w:styleId="BodyTextIndentChar">
    <w:name w:val="Body Text Indent Char"/>
    <w:basedOn w:val="DefaultParagraphFont"/>
    <w:link w:val="BodyTextIndent"/>
    <w:rsid w:val="00B2447D"/>
    <w:rPr>
      <w:rFonts w:eastAsiaTheme="minorEastAsia"/>
      <w:sz w:val="20"/>
      <w:szCs w:val="20"/>
      <w:lang w:eastAsia="en-AU"/>
    </w:rPr>
  </w:style>
  <w:style w:type="paragraph" w:customStyle="1" w:styleId="Level1">
    <w:name w:val="Level 1"/>
    <w:basedOn w:val="Normal"/>
    <w:rsid w:val="00B2447D"/>
    <w:pPr>
      <w:widowControl w:val="0"/>
      <w:numPr>
        <w:numId w:val="3"/>
      </w:numPr>
      <w:spacing w:before="100" w:after="200" w:line="276" w:lineRule="auto"/>
      <w:ind w:left="720" w:hanging="720"/>
      <w:outlineLvl w:val="0"/>
    </w:pPr>
    <w:rPr>
      <w:rFonts w:eastAsiaTheme="minorEastAsia"/>
      <w:snapToGrid w:val="0"/>
      <w:sz w:val="24"/>
      <w:szCs w:val="20"/>
      <w:lang w:val="en-US" w:eastAsia="en-AU"/>
    </w:rPr>
  </w:style>
  <w:style w:type="paragraph" w:customStyle="1" w:styleId="Level2">
    <w:name w:val="Level 2"/>
    <w:basedOn w:val="Normal"/>
    <w:rsid w:val="00B2447D"/>
    <w:pPr>
      <w:widowControl w:val="0"/>
      <w:numPr>
        <w:ilvl w:val="1"/>
        <w:numId w:val="3"/>
      </w:numPr>
      <w:spacing w:before="100" w:after="200" w:line="276" w:lineRule="auto"/>
      <w:ind w:left="1440" w:hanging="720"/>
      <w:outlineLvl w:val="1"/>
    </w:pPr>
    <w:rPr>
      <w:rFonts w:eastAsiaTheme="minorEastAsia"/>
      <w:snapToGrid w:val="0"/>
      <w:sz w:val="24"/>
      <w:szCs w:val="20"/>
      <w:lang w:val="en-US" w:eastAsia="en-AU"/>
    </w:rPr>
  </w:style>
  <w:style w:type="table" w:styleId="PlainTable1">
    <w:name w:val="Plain Table 1"/>
    <w:basedOn w:val="TableNormal"/>
    <w:uiPriority w:val="41"/>
    <w:rsid w:val="00DF27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DF276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DF27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D17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81B"/>
  </w:style>
  <w:style w:type="paragraph" w:styleId="Footer">
    <w:name w:val="footer"/>
    <w:basedOn w:val="Normal"/>
    <w:link w:val="FooterChar"/>
    <w:uiPriority w:val="99"/>
    <w:unhideWhenUsed/>
    <w:rsid w:val="00D17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81B"/>
  </w:style>
  <w:style w:type="table" w:styleId="GridTable4-Accent3">
    <w:name w:val="Grid Table 4 Accent 3"/>
    <w:basedOn w:val="TableNormal"/>
    <w:uiPriority w:val="49"/>
    <w:rsid w:val="007F030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7F030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nhideWhenUsed/>
    <w:rsid w:val="00186B5F"/>
    <w:rPr>
      <w:sz w:val="16"/>
      <w:szCs w:val="16"/>
    </w:rPr>
  </w:style>
  <w:style w:type="paragraph" w:styleId="CommentText">
    <w:name w:val="annotation text"/>
    <w:basedOn w:val="Normal"/>
    <w:link w:val="CommentTextChar"/>
    <w:uiPriority w:val="99"/>
    <w:semiHidden/>
    <w:unhideWhenUsed/>
    <w:rsid w:val="00186B5F"/>
    <w:pPr>
      <w:spacing w:after="31" w:line="240" w:lineRule="auto"/>
      <w:ind w:left="438" w:hanging="10"/>
    </w:pPr>
    <w:rPr>
      <w:rFonts w:ascii="Calibri" w:eastAsia="Calibri" w:hAnsi="Calibri" w:cs="Calibri"/>
      <w:color w:val="000000"/>
      <w:sz w:val="20"/>
      <w:szCs w:val="20"/>
      <w:lang w:eastAsia="en-AU"/>
    </w:rPr>
  </w:style>
  <w:style w:type="character" w:customStyle="1" w:styleId="CommentTextChar">
    <w:name w:val="Comment Text Char"/>
    <w:basedOn w:val="DefaultParagraphFont"/>
    <w:link w:val="CommentText"/>
    <w:uiPriority w:val="99"/>
    <w:semiHidden/>
    <w:rsid w:val="00186B5F"/>
    <w:rPr>
      <w:rFonts w:ascii="Calibri" w:eastAsia="Calibri" w:hAnsi="Calibri" w:cs="Calibri"/>
      <w:color w:val="000000"/>
      <w:sz w:val="20"/>
      <w:szCs w:val="20"/>
      <w:lang w:eastAsia="en-AU"/>
    </w:rPr>
  </w:style>
  <w:style w:type="paragraph" w:styleId="BalloonText">
    <w:name w:val="Balloon Text"/>
    <w:basedOn w:val="Normal"/>
    <w:link w:val="BalloonTextChar"/>
    <w:uiPriority w:val="99"/>
    <w:semiHidden/>
    <w:unhideWhenUsed/>
    <w:rsid w:val="00186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5F"/>
    <w:rPr>
      <w:rFonts w:ascii="Segoe UI" w:hAnsi="Segoe UI" w:cs="Segoe UI"/>
      <w:sz w:val="18"/>
      <w:szCs w:val="18"/>
    </w:rPr>
  </w:style>
  <w:style w:type="paragraph" w:styleId="NormalWeb">
    <w:name w:val="Normal (Web)"/>
    <w:basedOn w:val="Normal"/>
    <w:uiPriority w:val="99"/>
    <w:semiHidden/>
    <w:unhideWhenUsed/>
    <w:rsid w:val="00186B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86B5F"/>
    <w:rPr>
      <w:b/>
      <w:bCs/>
    </w:rPr>
  </w:style>
  <w:style w:type="paragraph" w:styleId="CommentSubject">
    <w:name w:val="annotation subject"/>
    <w:basedOn w:val="CommentText"/>
    <w:next w:val="CommentText"/>
    <w:link w:val="CommentSubjectChar"/>
    <w:uiPriority w:val="99"/>
    <w:semiHidden/>
    <w:unhideWhenUsed/>
    <w:rsid w:val="003D26B8"/>
    <w:pPr>
      <w:spacing w:after="160"/>
      <w:ind w:left="0" w:firstLine="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3D26B8"/>
    <w:rPr>
      <w:rFonts w:ascii="Calibri" w:eastAsia="Calibri" w:hAnsi="Calibri" w:cs="Calibri"/>
      <w:b/>
      <w:bCs/>
      <w:color w:val="000000"/>
      <w:sz w:val="20"/>
      <w:szCs w:val="20"/>
      <w:lang w:eastAsia="en-AU"/>
    </w:rPr>
  </w:style>
  <w:style w:type="paragraph" w:customStyle="1" w:styleId="Default">
    <w:name w:val="Default"/>
    <w:rsid w:val="007C5F2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262641"/>
    <w:pPr>
      <w:spacing w:after="120"/>
    </w:pPr>
  </w:style>
  <w:style w:type="character" w:customStyle="1" w:styleId="BodyTextChar">
    <w:name w:val="Body Text Char"/>
    <w:basedOn w:val="DefaultParagraphFont"/>
    <w:link w:val="BodyText"/>
    <w:uiPriority w:val="99"/>
    <w:semiHidden/>
    <w:rsid w:val="00262641"/>
  </w:style>
  <w:style w:type="paragraph" w:styleId="BodyText2">
    <w:name w:val="Body Text 2"/>
    <w:basedOn w:val="Normal"/>
    <w:link w:val="BodyText2Char"/>
    <w:uiPriority w:val="99"/>
    <w:semiHidden/>
    <w:unhideWhenUsed/>
    <w:rsid w:val="0093459B"/>
    <w:pPr>
      <w:spacing w:after="120" w:line="480" w:lineRule="auto"/>
    </w:pPr>
  </w:style>
  <w:style w:type="character" w:customStyle="1" w:styleId="BodyText2Char">
    <w:name w:val="Body Text 2 Char"/>
    <w:basedOn w:val="DefaultParagraphFont"/>
    <w:link w:val="BodyText2"/>
    <w:uiPriority w:val="99"/>
    <w:semiHidden/>
    <w:rsid w:val="0093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8776">
      <w:bodyDiv w:val="1"/>
      <w:marLeft w:val="0"/>
      <w:marRight w:val="0"/>
      <w:marTop w:val="0"/>
      <w:marBottom w:val="0"/>
      <w:divBdr>
        <w:top w:val="none" w:sz="0" w:space="0" w:color="auto"/>
        <w:left w:val="none" w:sz="0" w:space="0" w:color="auto"/>
        <w:bottom w:val="none" w:sz="0" w:space="0" w:color="auto"/>
        <w:right w:val="none" w:sz="0" w:space="0" w:color="auto"/>
      </w:divBdr>
    </w:div>
    <w:div w:id="1411004110">
      <w:bodyDiv w:val="1"/>
      <w:marLeft w:val="0"/>
      <w:marRight w:val="0"/>
      <w:marTop w:val="0"/>
      <w:marBottom w:val="0"/>
      <w:divBdr>
        <w:top w:val="none" w:sz="0" w:space="0" w:color="auto"/>
        <w:left w:val="none" w:sz="0" w:space="0" w:color="auto"/>
        <w:bottom w:val="none" w:sz="0" w:space="0" w:color="auto"/>
        <w:right w:val="none" w:sz="0" w:space="0" w:color="auto"/>
      </w:divBdr>
    </w:div>
    <w:div w:id="154949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Sunraysia Institute of TAFE</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Picken</dc:creator>
  <cp:keywords/>
  <dc:description/>
  <cp:lastModifiedBy>Julie Hayes</cp:lastModifiedBy>
  <cp:revision>5</cp:revision>
  <cp:lastPrinted>2019-08-29T04:21:00Z</cp:lastPrinted>
  <dcterms:created xsi:type="dcterms:W3CDTF">2024-04-16T01:52:00Z</dcterms:created>
  <dcterms:modified xsi:type="dcterms:W3CDTF">2024-04-16T03:06:00Z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06ab28-cba0-426b-b14a-2e2ee9d93356_Enabled">
    <vt:lpwstr>true</vt:lpwstr>
  </property>
  <property fmtid="{D5CDD505-2E9C-101B-9397-08002B2CF9AE}" pid="3" name="MSIP_Label_2a06ab28-cba0-426b-b14a-2e2ee9d93356_SetDate">
    <vt:lpwstr>2024-04-16T03:06:49Z</vt:lpwstr>
  </property>
  <property fmtid="{D5CDD505-2E9C-101B-9397-08002B2CF9AE}" pid="4" name="MSIP_Label_2a06ab28-cba0-426b-b14a-2e2ee9d93356_Method">
    <vt:lpwstr>Standard</vt:lpwstr>
  </property>
  <property fmtid="{D5CDD505-2E9C-101B-9397-08002B2CF9AE}" pid="5" name="MSIP_Label_2a06ab28-cba0-426b-b14a-2e2ee9d93356_Name">
    <vt:lpwstr>Official</vt:lpwstr>
  </property>
  <property fmtid="{D5CDD505-2E9C-101B-9397-08002B2CF9AE}" pid="6" name="MSIP_Label_2a06ab28-cba0-426b-b14a-2e2ee9d93356_SiteId">
    <vt:lpwstr>f561ef0f-ae55-424d-82af-b039b9522053</vt:lpwstr>
  </property>
  <property fmtid="{D5CDD505-2E9C-101B-9397-08002B2CF9AE}" pid="7" name="MSIP_Label_2a06ab28-cba0-426b-b14a-2e2ee9d93356_ActionId">
    <vt:lpwstr>dc275e85-6def-4df2-b9f8-c0e13a511d0e</vt:lpwstr>
  </property>
  <property fmtid="{D5CDD505-2E9C-101B-9397-08002B2CF9AE}" pid="8" name="MSIP_Label_2a06ab28-cba0-426b-b14a-2e2ee9d93356_ContentBits">
    <vt:lpwstr>3</vt:lpwstr>
  </property>
</Properties>
</file>